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4" w:rsidRPr="0077131C" w:rsidRDefault="00C37844" w:rsidP="004D1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1C">
        <w:rPr>
          <w:rFonts w:ascii="Times New Roman" w:hAnsi="Times New Roman" w:cs="Times New Roman"/>
          <w:b/>
          <w:sz w:val="28"/>
          <w:szCs w:val="28"/>
        </w:rPr>
        <w:t xml:space="preserve">Therapeutic management of </w:t>
      </w:r>
      <w:r w:rsidR="00CF07F0" w:rsidRPr="0077131C">
        <w:rPr>
          <w:rFonts w:ascii="Times New Roman" w:hAnsi="Times New Roman" w:cs="Times New Roman"/>
          <w:b/>
          <w:sz w:val="28"/>
          <w:szCs w:val="28"/>
        </w:rPr>
        <w:t>Canine Compulsive D</w:t>
      </w:r>
      <w:r w:rsidRPr="0077131C">
        <w:rPr>
          <w:rFonts w:ascii="Times New Roman" w:hAnsi="Times New Roman" w:cs="Times New Roman"/>
          <w:b/>
          <w:sz w:val="28"/>
          <w:szCs w:val="28"/>
        </w:rPr>
        <w:t xml:space="preserve">isorder </w:t>
      </w:r>
      <w:r w:rsidR="00CF07F0" w:rsidRPr="0077131C">
        <w:rPr>
          <w:rFonts w:ascii="Times New Roman" w:hAnsi="Times New Roman" w:cs="Times New Roman"/>
          <w:b/>
          <w:sz w:val="28"/>
          <w:szCs w:val="28"/>
        </w:rPr>
        <w:t xml:space="preserve">(CCD) </w:t>
      </w:r>
      <w:r w:rsidR="006B59B1" w:rsidRPr="0077131C">
        <w:rPr>
          <w:rFonts w:ascii="Times New Roman" w:hAnsi="Times New Roman" w:cs="Times New Roman"/>
          <w:b/>
          <w:sz w:val="28"/>
          <w:szCs w:val="28"/>
        </w:rPr>
        <w:t xml:space="preserve">in a Pug: </w:t>
      </w:r>
      <w:proofErr w:type="gramStart"/>
      <w:r w:rsidR="006B59B1" w:rsidRPr="0077131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6B59B1" w:rsidRPr="0077131C">
        <w:rPr>
          <w:rFonts w:ascii="Times New Roman" w:hAnsi="Times New Roman" w:cs="Times New Roman"/>
          <w:b/>
          <w:sz w:val="28"/>
          <w:szCs w:val="28"/>
        </w:rPr>
        <w:t xml:space="preserve"> Case </w:t>
      </w:r>
      <w:r w:rsidRPr="0077131C">
        <w:rPr>
          <w:rFonts w:ascii="Times New Roman" w:hAnsi="Times New Roman" w:cs="Times New Roman"/>
          <w:b/>
          <w:sz w:val="28"/>
          <w:szCs w:val="28"/>
        </w:rPr>
        <w:t>Report</w:t>
      </w:r>
    </w:p>
    <w:p w:rsidR="009C0161" w:rsidRPr="0077131C" w:rsidRDefault="004D1A63" w:rsidP="009C016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131C">
        <w:rPr>
          <w:rFonts w:ascii="Times New Roman" w:hAnsi="Times New Roman" w:cs="Times New Roman"/>
          <w:sz w:val="20"/>
          <w:szCs w:val="20"/>
        </w:rPr>
        <w:t>Pankaj Kumar Patel, Sonam Bhatt, Babul Rudra Paul, Sumit Kumar, S. K. Dixit</w:t>
      </w:r>
      <w:r w:rsidR="00E576D5" w:rsidRPr="0077131C">
        <w:rPr>
          <w:rFonts w:ascii="Times New Roman" w:hAnsi="Times New Roman" w:cs="Times New Roman"/>
          <w:sz w:val="20"/>
          <w:szCs w:val="20"/>
        </w:rPr>
        <w:t>, Sumit Mahajan</w:t>
      </w:r>
      <w:r w:rsidRPr="0077131C">
        <w:rPr>
          <w:rFonts w:ascii="Times New Roman" w:hAnsi="Times New Roman" w:cs="Times New Roman"/>
          <w:sz w:val="20"/>
          <w:szCs w:val="20"/>
        </w:rPr>
        <w:t xml:space="preserve"> and </w:t>
      </w:r>
      <w:r w:rsidR="00D3470B" w:rsidRPr="0077131C">
        <w:rPr>
          <w:rFonts w:ascii="Times New Roman" w:hAnsi="Times New Roman" w:cs="Times New Roman"/>
          <w:sz w:val="20"/>
          <w:szCs w:val="20"/>
        </w:rPr>
        <w:t>Akhilesh Kumar*</w:t>
      </w:r>
    </w:p>
    <w:p w:rsidR="009C0161" w:rsidRPr="0077131C" w:rsidRDefault="009C0161" w:rsidP="009C016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131C">
        <w:rPr>
          <w:rFonts w:ascii="Times New Roman" w:hAnsi="Times New Roman" w:cs="Times New Roman"/>
          <w:sz w:val="20"/>
          <w:szCs w:val="20"/>
        </w:rPr>
        <w:t xml:space="preserve">Division of Medicine, </w:t>
      </w:r>
      <w:r w:rsidRPr="0077131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ICAR-Indian Veterinary</w:t>
      </w:r>
      <w:r w:rsidR="006C2C3B" w:rsidRPr="0077131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7131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Research Institute, Izatnagar-243122, India</w:t>
      </w:r>
    </w:p>
    <w:p w:rsidR="00D3470B" w:rsidRPr="0077131C" w:rsidRDefault="00D3470B" w:rsidP="00D3470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131C">
        <w:rPr>
          <w:rFonts w:ascii="Times New Roman" w:hAnsi="Times New Roman" w:cs="Times New Roman"/>
          <w:sz w:val="20"/>
          <w:szCs w:val="20"/>
        </w:rPr>
        <w:t>*Correspondin</w:t>
      </w:r>
      <w:r w:rsidR="004916C0" w:rsidRPr="0077131C">
        <w:rPr>
          <w:rFonts w:ascii="Times New Roman" w:hAnsi="Times New Roman" w:cs="Times New Roman"/>
          <w:sz w:val="20"/>
          <w:szCs w:val="20"/>
        </w:rPr>
        <w:t>g</w:t>
      </w:r>
      <w:r w:rsidRPr="0077131C">
        <w:rPr>
          <w:rFonts w:ascii="Times New Roman" w:hAnsi="Times New Roman" w:cs="Times New Roman"/>
          <w:sz w:val="20"/>
          <w:szCs w:val="20"/>
        </w:rPr>
        <w:t xml:space="preserve"> </w:t>
      </w:r>
      <w:r w:rsidR="00FF1B87" w:rsidRPr="0077131C">
        <w:rPr>
          <w:rFonts w:ascii="Times New Roman" w:hAnsi="Times New Roman" w:cs="Times New Roman"/>
          <w:sz w:val="20"/>
          <w:szCs w:val="20"/>
        </w:rPr>
        <w:t>author</w:t>
      </w:r>
      <w:r w:rsidR="001D0B87" w:rsidRPr="0077131C">
        <w:rPr>
          <w:rFonts w:ascii="Times New Roman" w:hAnsi="Times New Roman" w:cs="Times New Roman"/>
          <w:sz w:val="20"/>
          <w:szCs w:val="20"/>
        </w:rPr>
        <w:t>:</w:t>
      </w:r>
      <w:r w:rsidRPr="0077131C">
        <w:rPr>
          <w:rFonts w:ascii="Times New Roman" w:hAnsi="Times New Roman" w:cs="Times New Roman"/>
          <w:sz w:val="20"/>
          <w:szCs w:val="20"/>
        </w:rPr>
        <w:t xml:space="preserve"> Akhilesh Kumar</w:t>
      </w:r>
    </w:p>
    <w:p w:rsidR="00C37844" w:rsidRPr="0077131C" w:rsidRDefault="00C37844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B55" w:rsidRPr="0077131C" w:rsidRDefault="00171B55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3750B" w:rsidRPr="0077131C" w:rsidRDefault="00171B55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sz w:val="24"/>
          <w:szCs w:val="24"/>
        </w:rPr>
        <w:t>A</w:t>
      </w:r>
      <w:r w:rsidR="00E73EB8" w:rsidRPr="0077131C">
        <w:rPr>
          <w:rFonts w:ascii="Times New Roman" w:hAnsi="Times New Roman" w:cs="Times New Roman"/>
          <w:sz w:val="24"/>
          <w:szCs w:val="24"/>
        </w:rPr>
        <w:t xml:space="preserve"> male pug dog aged 14 month </w:t>
      </w:r>
      <w:r w:rsidRPr="0077131C">
        <w:rPr>
          <w:rFonts w:ascii="Times New Roman" w:hAnsi="Times New Roman" w:cs="Times New Roman"/>
          <w:sz w:val="24"/>
          <w:szCs w:val="24"/>
        </w:rPr>
        <w:t>was presented to the Referral Veterinar</w:t>
      </w:r>
      <w:r w:rsidR="00BD47A5" w:rsidRPr="0077131C">
        <w:rPr>
          <w:rFonts w:ascii="Times New Roman" w:hAnsi="Times New Roman" w:cs="Times New Roman"/>
          <w:sz w:val="24"/>
          <w:szCs w:val="24"/>
        </w:rPr>
        <w:t xml:space="preserve">y Polyclinic, IVRI Izatnagar </w:t>
      </w:r>
      <w:r w:rsidR="00E3750B" w:rsidRPr="0077131C">
        <w:rPr>
          <w:rFonts w:ascii="Times New Roman" w:hAnsi="Times New Roman" w:cs="Times New Roman"/>
          <w:sz w:val="24"/>
          <w:szCs w:val="24"/>
        </w:rPr>
        <w:t>with complaint</w:t>
      </w:r>
      <w:r w:rsidRPr="0077131C">
        <w:rPr>
          <w:rFonts w:ascii="Times New Roman" w:hAnsi="Times New Roman" w:cs="Times New Roman"/>
          <w:sz w:val="24"/>
          <w:szCs w:val="24"/>
        </w:rPr>
        <w:t xml:space="preserve"> of </w:t>
      </w:r>
      <w:r w:rsidR="00E3750B" w:rsidRPr="0077131C">
        <w:rPr>
          <w:rFonts w:ascii="Times New Roman" w:hAnsi="Times New Roman" w:cs="Times New Roman"/>
          <w:sz w:val="24"/>
          <w:szCs w:val="24"/>
        </w:rPr>
        <w:t>continuous</w:t>
      </w:r>
      <w:r w:rsidRPr="0077131C">
        <w:rPr>
          <w:rFonts w:ascii="Times New Roman" w:hAnsi="Times New Roman" w:cs="Times New Roman"/>
          <w:sz w:val="24"/>
          <w:szCs w:val="24"/>
        </w:rPr>
        <w:t xml:space="preserve"> circling</w:t>
      </w:r>
      <w:r w:rsidR="00E3750B" w:rsidRPr="0077131C">
        <w:rPr>
          <w:rFonts w:ascii="Times New Roman" w:hAnsi="Times New Roman" w:cs="Times New Roman"/>
          <w:sz w:val="24"/>
          <w:szCs w:val="24"/>
        </w:rPr>
        <w:t>, tail chasing and altered behavioral pattern</w:t>
      </w:r>
      <w:r w:rsidRPr="0077131C">
        <w:rPr>
          <w:rFonts w:ascii="Times New Roman" w:hAnsi="Times New Roman" w:cs="Times New Roman"/>
          <w:sz w:val="24"/>
          <w:szCs w:val="24"/>
        </w:rPr>
        <w:t xml:space="preserve">. 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The systematic investigation did not </w:t>
      </w:r>
      <w:r w:rsidR="00E73EB8" w:rsidRPr="0077131C">
        <w:rPr>
          <w:rFonts w:ascii="Times New Roman" w:hAnsi="Times New Roman" w:cs="Times New Roman"/>
          <w:sz w:val="24"/>
          <w:szCs w:val="24"/>
        </w:rPr>
        <w:t>show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 any significant abnormality in </w:t>
      </w:r>
      <w:r w:rsidRPr="0077131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7131C">
        <w:rPr>
          <w:rFonts w:ascii="Times New Roman" w:hAnsi="Times New Roman" w:cs="Times New Roman"/>
          <w:sz w:val="24"/>
          <w:szCs w:val="24"/>
        </w:rPr>
        <w:t>haemato</w:t>
      </w:r>
      <w:proofErr w:type="spellEnd"/>
      <w:r w:rsidR="00AB1D1C" w:rsidRPr="0077131C">
        <w:rPr>
          <w:rFonts w:ascii="Times New Roman" w:hAnsi="Times New Roman" w:cs="Times New Roman"/>
          <w:sz w:val="24"/>
          <w:szCs w:val="24"/>
        </w:rPr>
        <w:t>-</w:t>
      </w:r>
      <w:r w:rsidR="009A238F" w:rsidRPr="0077131C">
        <w:rPr>
          <w:rFonts w:ascii="Times New Roman" w:hAnsi="Times New Roman" w:cs="Times New Roman"/>
          <w:sz w:val="24"/>
          <w:szCs w:val="24"/>
        </w:rPr>
        <w:t>biochemical</w:t>
      </w:r>
      <w:r w:rsidRPr="0077131C">
        <w:rPr>
          <w:rFonts w:ascii="Times New Roman" w:hAnsi="Times New Roman" w:cs="Times New Roman"/>
          <w:sz w:val="24"/>
          <w:szCs w:val="24"/>
        </w:rPr>
        <w:t xml:space="preserve"> parameters. Skin scrapping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 of tail</w:t>
      </w:r>
      <w:r w:rsidRPr="0077131C">
        <w:rPr>
          <w:rFonts w:ascii="Times New Roman" w:hAnsi="Times New Roman" w:cs="Times New Roman"/>
          <w:sz w:val="24"/>
          <w:szCs w:val="24"/>
        </w:rPr>
        <w:t xml:space="preserve"> was 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found </w:t>
      </w:r>
      <w:r w:rsidRPr="0077131C">
        <w:rPr>
          <w:rFonts w:ascii="Times New Roman" w:hAnsi="Times New Roman" w:cs="Times New Roman"/>
          <w:sz w:val="24"/>
          <w:szCs w:val="24"/>
        </w:rPr>
        <w:t xml:space="preserve">negative for </w:t>
      </w:r>
      <w:r w:rsidR="00E3750B" w:rsidRPr="0077131C">
        <w:rPr>
          <w:rFonts w:ascii="Times New Roman" w:hAnsi="Times New Roman" w:cs="Times New Roman"/>
          <w:sz w:val="24"/>
          <w:szCs w:val="24"/>
        </w:rPr>
        <w:t>any ectoparasites.</w:t>
      </w:r>
      <w:r w:rsidRPr="0077131C">
        <w:rPr>
          <w:rFonts w:ascii="Times New Roman" w:hAnsi="Times New Roman" w:cs="Times New Roman"/>
          <w:sz w:val="24"/>
          <w:szCs w:val="24"/>
        </w:rPr>
        <w:t xml:space="preserve">The 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institution of treatment of </w:t>
      </w:r>
      <w:r w:rsidRPr="0077131C">
        <w:rPr>
          <w:rFonts w:ascii="Times New Roman" w:hAnsi="Times New Roman" w:cs="Times New Roman"/>
          <w:sz w:val="24"/>
          <w:szCs w:val="24"/>
        </w:rPr>
        <w:t xml:space="preserve">dog 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with </w:t>
      </w:r>
      <w:r w:rsidR="00E3750B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clomipramine along with supportive therapy brought successful recovery in 4 weeks. </w:t>
      </w:r>
    </w:p>
    <w:p w:rsidR="00251327" w:rsidRPr="0077131C" w:rsidRDefault="00251327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Key words:  </w:t>
      </w:r>
      <w:r w:rsidR="00DA0EAB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Circling, </w:t>
      </w:r>
      <w:r w:rsidR="0077131C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Canine Compulsive Disorder</w:t>
      </w:r>
      <w:r w:rsidR="00DA0EAB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A0EAB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lomipramine</w:t>
      </w:r>
      <w:proofErr w:type="spellEnd"/>
      <w:r w:rsidR="0077131C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, Pug</w:t>
      </w:r>
    </w:p>
    <w:p w:rsidR="00554499" w:rsidRPr="0077131C" w:rsidRDefault="00554499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8E" w:rsidRPr="0077131C" w:rsidRDefault="00301C45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C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70FAC" w:rsidRPr="0077131C" w:rsidRDefault="00270FAC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77131C">
        <w:rPr>
          <w:rFonts w:ascii="Times New Roman" w:hAnsi="Times New Roman" w:cs="Times New Roman"/>
          <w:sz w:val="24"/>
          <w:szCs w:val="24"/>
        </w:rPr>
        <w:t>Canine-compulsive disorder (C</w:t>
      </w:r>
      <w:r w:rsidR="008734A8" w:rsidRPr="0077131C">
        <w:rPr>
          <w:rFonts w:ascii="Times New Roman" w:hAnsi="Times New Roman" w:cs="Times New Roman"/>
          <w:sz w:val="24"/>
          <w:szCs w:val="24"/>
        </w:rPr>
        <w:t xml:space="preserve">CD) 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are frequent sequel to </w:t>
      </w:r>
      <w:r w:rsidR="008734A8" w:rsidRPr="0077131C">
        <w:rPr>
          <w:rFonts w:ascii="Times New Roman" w:hAnsi="Times New Roman" w:cs="Times New Roman"/>
          <w:sz w:val="24"/>
          <w:szCs w:val="24"/>
        </w:rPr>
        <w:t>compulsive component (</w:t>
      </w:r>
      <w:r w:rsidR="00C82FD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finding repetitive, stereotypic motor, locomotory</w:t>
      </w:r>
      <w:r w:rsidR="00E3750B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2FD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and hallucinogenic</w:t>
      </w:r>
      <w:r w:rsidR="008734A8" w:rsidRPr="0077131C">
        <w:rPr>
          <w:rFonts w:ascii="Times New Roman" w:hAnsi="Times New Roman" w:cs="Times New Roman"/>
          <w:sz w:val="24"/>
          <w:szCs w:val="24"/>
        </w:rPr>
        <w:t xml:space="preserve"> behaviors</w:t>
      </w:r>
      <w:r w:rsidR="00A1768C" w:rsidRPr="0077131C">
        <w:rPr>
          <w:rFonts w:ascii="Times New Roman" w:hAnsi="Times New Roman" w:cs="Times New Roman"/>
          <w:sz w:val="24"/>
          <w:szCs w:val="24"/>
        </w:rPr>
        <w:t>)</w:t>
      </w:r>
      <w:r w:rsidR="008734A8" w:rsidRPr="0077131C">
        <w:rPr>
          <w:rFonts w:ascii="Times New Roman" w:hAnsi="Times New Roman" w:cs="Times New Roman"/>
          <w:sz w:val="24"/>
          <w:szCs w:val="24"/>
        </w:rPr>
        <w:t xml:space="preserve"> characterized by </w:t>
      </w:r>
      <w:r w:rsidR="00C82FD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frequency or duration in excess </w:t>
      </w:r>
      <w:r w:rsidR="008734A8" w:rsidRPr="0077131C">
        <w:rPr>
          <w:rFonts w:ascii="Times New Roman" w:hAnsi="Times New Roman" w:cs="Times New Roman"/>
          <w:sz w:val="24"/>
          <w:szCs w:val="24"/>
        </w:rPr>
        <w:t xml:space="preserve">circling, tail chasing, flank sucking, fence </w:t>
      </w:r>
      <w:r w:rsidR="00E01800" w:rsidRPr="0077131C">
        <w:rPr>
          <w:rFonts w:ascii="Times New Roman" w:hAnsi="Times New Roman" w:cs="Times New Roman"/>
          <w:sz w:val="24"/>
          <w:szCs w:val="24"/>
        </w:rPr>
        <w:t>running,</w:t>
      </w:r>
      <w:r w:rsidR="004A5784" w:rsidRPr="0077131C">
        <w:rPr>
          <w:rFonts w:ascii="Times New Roman" w:hAnsi="Times New Roman" w:cs="Times New Roman"/>
          <w:sz w:val="24"/>
          <w:szCs w:val="24"/>
        </w:rPr>
        <w:t xml:space="preserve"> fly biting, self mutilation, hair or air biting, pi</w:t>
      </w:r>
      <w:r w:rsidR="00E3750B" w:rsidRPr="0077131C">
        <w:rPr>
          <w:rFonts w:ascii="Times New Roman" w:hAnsi="Times New Roman" w:cs="Times New Roman"/>
          <w:sz w:val="24"/>
          <w:szCs w:val="24"/>
        </w:rPr>
        <w:t xml:space="preserve">ca, pacing or spinning, staring, </w:t>
      </w:r>
      <w:r w:rsidR="004A5784" w:rsidRPr="0077131C">
        <w:rPr>
          <w:rFonts w:ascii="Times New Roman" w:hAnsi="Times New Roman" w:cs="Times New Roman"/>
          <w:sz w:val="24"/>
          <w:szCs w:val="24"/>
        </w:rPr>
        <w:t>aggressions, self-directed vocalizing, and fabric sucking or chewing</w:t>
      </w:r>
      <w:r w:rsidR="00C82FDF" w:rsidRPr="0077131C">
        <w:rPr>
          <w:rFonts w:ascii="Times New Roman" w:hAnsi="Times New Roman" w:cs="Times New Roman"/>
          <w:sz w:val="24"/>
          <w:szCs w:val="24"/>
        </w:rPr>
        <w:t xml:space="preserve"> </w:t>
      </w:r>
      <w:r w:rsidR="00C82FD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that interfered with the animal’s ability to function in its social environment</w:t>
      </w:r>
      <w:r w:rsidRPr="0077131C">
        <w:rPr>
          <w:rFonts w:ascii="Times New Roman" w:hAnsi="Times New Roman" w:cs="Times New Roman"/>
          <w:sz w:val="24"/>
          <w:szCs w:val="24"/>
        </w:rPr>
        <w:t xml:space="preserve">. 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CCD commonly </w:t>
      </w:r>
      <w:r w:rsidR="00E01800" w:rsidRPr="0077131C">
        <w:rPr>
          <w:rFonts w:ascii="Times New Roman" w:hAnsi="Times New Roman" w:cs="Times New Roman"/>
          <w:sz w:val="24"/>
          <w:szCs w:val="24"/>
          <w:lang w:val="en-IN"/>
        </w:rPr>
        <w:t>appears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between pre-pubescence and early social maturity which could be aggravated by anxiety or stress. Further, in due course of time such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stereotypic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A1BE3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behaviour 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becomes ‘fixed’ and </w:t>
      </w:r>
      <w:r w:rsidR="00CA1BE3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become evident 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even in the absence of </w:t>
      </w:r>
      <w:r w:rsidR="00CA1BE3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any 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obvious stressors</w:t>
      </w:r>
      <w:r w:rsidR="00CA1BE3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(Overall and Dunham, 2002;</w:t>
      </w:r>
      <w:r w:rsidR="00CA1BE3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Kumar </w:t>
      </w:r>
      <w:r w:rsidR="00CA1BE3" w:rsidRPr="007713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CA1BE3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2012; Tang </w:t>
      </w:r>
      <w:r w:rsidR="00CA1BE3" w:rsidRPr="007713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CA1BE3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., 2014</w:t>
      </w:r>
      <w:r w:rsidR="00CA1BE3" w:rsidRPr="0077131C"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E1" w:rsidRPr="0077131C" w:rsidRDefault="006A5DE1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64D0" w:rsidRPr="0077131C" w:rsidRDefault="007F296E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Signalment</w:t>
      </w:r>
    </w:p>
    <w:p w:rsidR="007F296E" w:rsidRPr="0077131C" w:rsidRDefault="00BD47A5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C">
        <w:rPr>
          <w:rFonts w:ascii="Times New Roman" w:hAnsi="Times New Roman" w:cs="Times New Roman"/>
          <w:sz w:val="24"/>
          <w:szCs w:val="24"/>
        </w:rPr>
        <w:t>A 14 month old</w:t>
      </w:r>
      <w:r w:rsidR="007F296E" w:rsidRPr="0077131C">
        <w:rPr>
          <w:rFonts w:ascii="Times New Roman" w:hAnsi="Times New Roman" w:cs="Times New Roman"/>
          <w:sz w:val="24"/>
          <w:szCs w:val="24"/>
        </w:rPr>
        <w:t>, male Pug dog</w:t>
      </w:r>
      <w:r w:rsidRPr="0077131C">
        <w:rPr>
          <w:rFonts w:ascii="Times New Roman" w:hAnsi="Times New Roman" w:cs="Times New Roman"/>
          <w:sz w:val="24"/>
          <w:szCs w:val="24"/>
        </w:rPr>
        <w:t xml:space="preserve"> was presented to the Referral Veterinary Polyclinic, </w:t>
      </w:r>
      <w:r w:rsidR="007F296E" w:rsidRPr="0077131C">
        <w:rPr>
          <w:rFonts w:ascii="Times New Roman" w:hAnsi="Times New Roman" w:cs="Times New Roman"/>
          <w:sz w:val="24"/>
          <w:szCs w:val="24"/>
        </w:rPr>
        <w:t>ICAR-</w:t>
      </w:r>
      <w:r w:rsidRPr="0077131C">
        <w:rPr>
          <w:rFonts w:ascii="Times New Roman" w:hAnsi="Times New Roman" w:cs="Times New Roman"/>
          <w:sz w:val="24"/>
          <w:szCs w:val="24"/>
        </w:rPr>
        <w:t>I</w:t>
      </w:r>
      <w:r w:rsidR="007F296E" w:rsidRPr="0077131C">
        <w:rPr>
          <w:rFonts w:ascii="Times New Roman" w:hAnsi="Times New Roman" w:cs="Times New Roman"/>
          <w:sz w:val="24"/>
          <w:szCs w:val="24"/>
        </w:rPr>
        <w:t xml:space="preserve">ndian Veterinary Research Institute, Izatnagar, </w:t>
      </w:r>
      <w:proofErr w:type="gramStart"/>
      <w:r w:rsidR="007F296E" w:rsidRPr="0077131C">
        <w:rPr>
          <w:rFonts w:ascii="Times New Roman" w:hAnsi="Times New Roman" w:cs="Times New Roman"/>
          <w:sz w:val="24"/>
          <w:szCs w:val="24"/>
        </w:rPr>
        <w:t>Bareilly</w:t>
      </w:r>
      <w:proofErr w:type="gramEnd"/>
      <w:r w:rsidR="007F296E" w:rsidRPr="0077131C">
        <w:rPr>
          <w:rFonts w:ascii="Times New Roman" w:hAnsi="Times New Roman" w:cs="Times New Roman"/>
          <w:sz w:val="24"/>
          <w:szCs w:val="24"/>
        </w:rPr>
        <w:t xml:space="preserve"> (U.P) with </w:t>
      </w:r>
      <w:r w:rsidRPr="0077131C">
        <w:rPr>
          <w:rFonts w:ascii="Times New Roman" w:hAnsi="Times New Roman" w:cs="Times New Roman"/>
          <w:sz w:val="24"/>
          <w:szCs w:val="24"/>
        </w:rPr>
        <w:t>history of circling</w:t>
      </w:r>
      <w:r w:rsidR="007F296E" w:rsidRPr="0077131C">
        <w:rPr>
          <w:rFonts w:ascii="Times New Roman" w:hAnsi="Times New Roman" w:cs="Times New Roman"/>
          <w:sz w:val="24"/>
          <w:szCs w:val="24"/>
        </w:rPr>
        <w:t xml:space="preserve">, biting, chasing </w:t>
      </w:r>
      <w:r w:rsidR="007F296E" w:rsidRPr="0077131C">
        <w:rPr>
          <w:rFonts w:ascii="Times New Roman" w:hAnsi="Times New Roman" w:cs="Times New Roman"/>
          <w:sz w:val="24"/>
          <w:szCs w:val="24"/>
        </w:rPr>
        <w:lastRenderedPageBreak/>
        <w:t xml:space="preserve">of tail </w:t>
      </w:r>
      <w:r w:rsidR="00A602C3" w:rsidRPr="0077131C">
        <w:rPr>
          <w:rFonts w:ascii="Times New Roman" w:hAnsi="Times New Roman" w:cs="Times New Roman"/>
          <w:sz w:val="24"/>
          <w:szCs w:val="24"/>
        </w:rPr>
        <w:t xml:space="preserve">(Fig.1) </w:t>
      </w:r>
      <w:r w:rsidR="007F296E" w:rsidRPr="0077131C">
        <w:rPr>
          <w:rFonts w:ascii="Times New Roman" w:hAnsi="Times New Roman" w:cs="Times New Roman"/>
          <w:sz w:val="24"/>
          <w:szCs w:val="24"/>
        </w:rPr>
        <w:t xml:space="preserve">and viciousness along with altered behavior. </w:t>
      </w:r>
      <w:r w:rsidRPr="0077131C">
        <w:rPr>
          <w:rFonts w:ascii="Times New Roman" w:hAnsi="Times New Roman" w:cs="Times New Roman"/>
          <w:sz w:val="24"/>
          <w:szCs w:val="24"/>
        </w:rPr>
        <w:t xml:space="preserve"> </w:t>
      </w:r>
      <w:r w:rsidR="007F296E" w:rsidRPr="0077131C">
        <w:rPr>
          <w:rFonts w:ascii="Times New Roman" w:hAnsi="Times New Roman" w:cs="Times New Roman"/>
          <w:sz w:val="24"/>
          <w:szCs w:val="24"/>
        </w:rPr>
        <w:t>The dog was dewormed and vaccinated as per standard regimen</w:t>
      </w:r>
      <w:r w:rsidRPr="0077131C">
        <w:rPr>
          <w:rFonts w:ascii="Times New Roman" w:hAnsi="Times New Roman" w:cs="Times New Roman"/>
          <w:sz w:val="24"/>
          <w:szCs w:val="24"/>
        </w:rPr>
        <w:t>.</w:t>
      </w:r>
      <w:r w:rsidR="001A0A1F" w:rsidRPr="0077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4D0" w:rsidRPr="0077131C" w:rsidRDefault="007F296E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C">
        <w:rPr>
          <w:rFonts w:ascii="Times New Roman" w:hAnsi="Times New Roman" w:cs="Times New Roman"/>
          <w:b/>
          <w:sz w:val="24"/>
          <w:szCs w:val="24"/>
        </w:rPr>
        <w:t>Clinical examinations and laboratory findings:</w:t>
      </w:r>
      <w:r w:rsidRPr="0077131C">
        <w:rPr>
          <w:rFonts w:ascii="Times New Roman" w:hAnsi="Times New Roman" w:cs="Times New Roman"/>
          <w:sz w:val="24"/>
          <w:szCs w:val="24"/>
        </w:rPr>
        <w:t xml:space="preserve"> </w:t>
      </w:r>
      <w:r w:rsidR="00BD47A5" w:rsidRPr="0077131C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="00BD47A5" w:rsidRPr="0077131C">
        <w:rPr>
          <w:rFonts w:ascii="Times New Roman" w:hAnsi="Times New Roman" w:cs="Times New Roman"/>
          <w:sz w:val="24"/>
          <w:szCs w:val="24"/>
        </w:rPr>
        <w:t>haemato</w:t>
      </w:r>
      <w:proofErr w:type="spellEnd"/>
      <w:r w:rsidR="00AB1D1C" w:rsidRPr="0077131C">
        <w:rPr>
          <w:rFonts w:ascii="Times New Roman" w:hAnsi="Times New Roman" w:cs="Times New Roman"/>
          <w:sz w:val="24"/>
          <w:szCs w:val="24"/>
        </w:rPr>
        <w:t>-</w:t>
      </w:r>
      <w:r w:rsidR="00256F68" w:rsidRPr="0077131C">
        <w:rPr>
          <w:rFonts w:ascii="Times New Roman" w:hAnsi="Times New Roman" w:cs="Times New Roman"/>
          <w:sz w:val="24"/>
          <w:szCs w:val="24"/>
        </w:rPr>
        <w:t>biochemical</w:t>
      </w:r>
      <w:r w:rsidR="00E73EB8" w:rsidRPr="0077131C">
        <w:rPr>
          <w:rFonts w:ascii="Times New Roman" w:hAnsi="Times New Roman" w:cs="Times New Roman"/>
          <w:sz w:val="24"/>
          <w:szCs w:val="24"/>
        </w:rPr>
        <w:t xml:space="preserve"> (T</w:t>
      </w:r>
      <w:r w:rsidR="00207FAE" w:rsidRPr="0077131C">
        <w:rPr>
          <w:rFonts w:ascii="Times New Roman" w:hAnsi="Times New Roman" w:cs="Times New Roman"/>
          <w:sz w:val="24"/>
          <w:szCs w:val="24"/>
        </w:rPr>
        <w:t>able .1)</w:t>
      </w:r>
      <w:r w:rsidR="00BD47A5" w:rsidRPr="0077131C">
        <w:rPr>
          <w:rFonts w:ascii="Times New Roman" w:hAnsi="Times New Roman" w:cs="Times New Roman"/>
          <w:sz w:val="24"/>
          <w:szCs w:val="24"/>
        </w:rPr>
        <w:t xml:space="preserve"> parameters are in normal range. Skin scrapping was negative for ectoparasites and no any wound is present on the coat. </w:t>
      </w:r>
      <w:r w:rsidR="00FC64D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Differential diagnoses </w:t>
      </w:r>
      <w:r w:rsidR="00E16D9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was done through</w:t>
      </w:r>
      <w:r w:rsidR="004C3A8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D9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questionnaire of other behavioral </w:t>
      </w:r>
      <w:r w:rsidR="00207FA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condition originate</w:t>
      </w:r>
      <w:r w:rsidR="00E16D9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6D6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from environment</w:t>
      </w:r>
      <w:r w:rsidR="00FC64D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, management, humane considerations (eg, those involving understimulation, neglect, or excessive confinement), separation anxiety, attention-seeking behavior, general</w:t>
      </w:r>
      <w:r w:rsidR="002E066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ized anxiety, and hyperactivity </w:t>
      </w:r>
      <w:r w:rsidR="004F6D6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(Overall</w:t>
      </w:r>
      <w:r w:rsidR="002E066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Dunham, 2000)</w:t>
      </w:r>
      <w:r w:rsidR="00F12F9D" w:rsidRPr="0077131C">
        <w:rPr>
          <w:rFonts w:ascii="Times New Roman" w:hAnsi="Times New Roman" w:cs="Times New Roman"/>
          <w:sz w:val="24"/>
          <w:szCs w:val="24"/>
        </w:rPr>
        <w:t>.</w:t>
      </w:r>
    </w:p>
    <w:p w:rsidR="00BA79C0" w:rsidRPr="0077131C" w:rsidRDefault="00BA79C0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19" w:rsidRPr="0077131C" w:rsidRDefault="00A602C3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C">
        <w:rPr>
          <w:rFonts w:ascii="Times New Roman" w:hAnsi="Times New Roman" w:cs="Times New Roman"/>
          <w:sz w:val="24"/>
          <w:szCs w:val="24"/>
        </w:rPr>
        <w:t>Fig.1: Circling and Tail chasing</w:t>
      </w:r>
    </w:p>
    <w:p w:rsidR="005F4F19" w:rsidRPr="0077131C" w:rsidRDefault="005F4F19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486025" cy="2562225"/>
            <wp:effectExtent l="19050" t="0" r="9525" b="0"/>
            <wp:docPr id="1" name="Picture 1" descr="C:\Users\win7\AppData\Local\Microsoft\Windows\Temporary Internet Files\Content.Word\IMG_20180212_1227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IMG_20180212_122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28" cy="256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E3" w:rsidRPr="0077131C" w:rsidRDefault="008F42E3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2E3" w:rsidRPr="0077131C" w:rsidRDefault="00E73EB8" w:rsidP="008F42E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77131C">
        <w:rPr>
          <w:rFonts w:ascii="Times New Roman" w:hAnsi="Times New Roman" w:cs="Times New Roman"/>
          <w:b/>
          <w:bCs/>
          <w:iCs/>
          <w:sz w:val="24"/>
          <w:szCs w:val="24"/>
        </w:rPr>
        <w:t>Table.1: The haemato-biochemical</w:t>
      </w:r>
      <w:r w:rsidR="008F42E3" w:rsidRPr="007713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713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parameters of affected </w:t>
      </w:r>
      <w:r w:rsidR="008F42E3" w:rsidRPr="0077131C">
        <w:rPr>
          <w:rFonts w:ascii="Times New Roman" w:hAnsi="Times New Roman" w:cs="Times New Roman"/>
          <w:b/>
          <w:bCs/>
          <w:iCs/>
          <w:sz w:val="24"/>
          <w:szCs w:val="24"/>
        </w:rPr>
        <w:t>dog</w:t>
      </w:r>
    </w:p>
    <w:tbl>
      <w:tblPr>
        <w:tblStyle w:val="TableGrid"/>
        <w:tblW w:w="0" w:type="auto"/>
        <w:tblLook w:val="04A0"/>
      </w:tblPr>
      <w:tblGrid>
        <w:gridCol w:w="2628"/>
        <w:gridCol w:w="4140"/>
        <w:gridCol w:w="1260"/>
      </w:tblGrid>
      <w:tr w:rsidR="00590253" w:rsidRPr="0077131C" w:rsidTr="00D64322">
        <w:tc>
          <w:tcPr>
            <w:tcW w:w="2628" w:type="dxa"/>
          </w:tcPr>
          <w:p w:rsidR="00590253" w:rsidRPr="0077131C" w:rsidRDefault="00E66719" w:rsidP="00D6432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7131C">
              <w:rPr>
                <w:b/>
                <w:color w:val="auto"/>
                <w:sz w:val="23"/>
                <w:szCs w:val="23"/>
              </w:rPr>
              <w:t>P</w:t>
            </w:r>
            <w:r w:rsidR="00590253" w:rsidRPr="0077131C">
              <w:rPr>
                <w:b/>
                <w:color w:val="auto"/>
                <w:sz w:val="23"/>
                <w:szCs w:val="23"/>
              </w:rPr>
              <w:t xml:space="preserve">arameter </w:t>
            </w:r>
          </w:p>
        </w:tc>
        <w:tc>
          <w:tcPr>
            <w:tcW w:w="4140" w:type="dxa"/>
          </w:tcPr>
          <w:p w:rsidR="00590253" w:rsidRPr="0077131C" w:rsidRDefault="00590253" w:rsidP="00E6671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7131C">
              <w:rPr>
                <w:b/>
                <w:color w:val="auto"/>
                <w:sz w:val="23"/>
                <w:szCs w:val="23"/>
              </w:rPr>
              <w:t>Reference range</w:t>
            </w:r>
            <w:r w:rsidR="00E66719" w:rsidRPr="0077131C">
              <w:rPr>
                <w:b/>
                <w:color w:val="auto"/>
                <w:sz w:val="23"/>
                <w:szCs w:val="23"/>
              </w:rPr>
              <w:t>*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rPr>
                <w:rFonts w:ascii="Times New Roman" w:hAnsi="Times New Roman" w:cs="Times New Roman"/>
                <w:b/>
              </w:rPr>
            </w:pPr>
            <w:r w:rsidRPr="0077131C">
              <w:rPr>
                <w:rFonts w:ascii="Times New Roman" w:hAnsi="Times New Roman" w:cs="Times New Roman"/>
                <w:b/>
              </w:rPr>
              <w:t>0</w:t>
            </w:r>
            <w:r w:rsidRPr="0077131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77131C"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Hb (g/dl)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11.9-18.9</w:t>
            </w:r>
          </w:p>
        </w:tc>
        <w:tc>
          <w:tcPr>
            <w:tcW w:w="1260" w:type="dxa"/>
          </w:tcPr>
          <w:p w:rsidR="00590253" w:rsidRPr="0077131C" w:rsidRDefault="00590253" w:rsidP="00590253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13.6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PCV (%)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24-46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37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TEC (10</w:t>
            </w:r>
            <w:r w:rsidRPr="0077131C">
              <w:rPr>
                <w:color w:val="auto"/>
                <w:sz w:val="23"/>
                <w:szCs w:val="23"/>
                <w:vertAlign w:val="superscript"/>
              </w:rPr>
              <w:t>6</w:t>
            </w:r>
            <w:r w:rsidRPr="0077131C">
              <w:rPr>
                <w:color w:val="auto"/>
                <w:sz w:val="23"/>
                <w:szCs w:val="23"/>
              </w:rPr>
              <w:t xml:space="preserve">/cmm)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4.95-7.87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5.27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TLC (10</w:t>
            </w:r>
            <w:r w:rsidRPr="0077131C">
              <w:rPr>
                <w:color w:val="auto"/>
                <w:sz w:val="23"/>
                <w:szCs w:val="23"/>
                <w:vertAlign w:val="superscript"/>
              </w:rPr>
              <w:t>3</w:t>
            </w:r>
            <w:r w:rsidRPr="0077131C">
              <w:rPr>
                <w:color w:val="auto"/>
                <w:sz w:val="23"/>
                <w:szCs w:val="23"/>
              </w:rPr>
              <w:t xml:space="preserve">/cmm)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5.0- 14.1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8.53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Neutrophils %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58-85</w:t>
            </w:r>
          </w:p>
        </w:tc>
        <w:tc>
          <w:tcPr>
            <w:tcW w:w="1260" w:type="dxa"/>
          </w:tcPr>
          <w:p w:rsidR="00590253" w:rsidRPr="0077131C" w:rsidRDefault="00590253" w:rsidP="00590253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76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Lymphocytes %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8-21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18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Monocytes%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2-10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2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Eosinophils%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0-9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2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590253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Basophil%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0-1</w:t>
            </w:r>
          </w:p>
        </w:tc>
        <w:tc>
          <w:tcPr>
            <w:tcW w:w="1260" w:type="dxa"/>
          </w:tcPr>
          <w:p w:rsidR="00590253" w:rsidRPr="0077131C" w:rsidRDefault="00590253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0</w:t>
            </w:r>
          </w:p>
        </w:tc>
      </w:tr>
      <w:tr w:rsidR="00590253" w:rsidRPr="0077131C" w:rsidTr="00D64322">
        <w:tc>
          <w:tcPr>
            <w:tcW w:w="2628" w:type="dxa"/>
          </w:tcPr>
          <w:p w:rsidR="00590253" w:rsidRPr="0077131C" w:rsidRDefault="00E73EB8" w:rsidP="00D64322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Platelet</w:t>
            </w:r>
            <w:r w:rsidR="00590253" w:rsidRPr="0077131C">
              <w:rPr>
                <w:color w:val="auto"/>
                <w:sz w:val="23"/>
                <w:szCs w:val="23"/>
              </w:rPr>
              <w:t xml:space="preserve"> count (10</w:t>
            </w:r>
            <w:r w:rsidR="00590253" w:rsidRPr="0077131C">
              <w:rPr>
                <w:color w:val="auto"/>
                <w:sz w:val="23"/>
                <w:szCs w:val="23"/>
                <w:vertAlign w:val="superscript"/>
              </w:rPr>
              <w:t>6</w:t>
            </w:r>
            <w:r w:rsidRPr="0077131C">
              <w:rPr>
                <w:color w:val="auto"/>
                <w:sz w:val="23"/>
                <w:szCs w:val="23"/>
              </w:rPr>
              <w:t>/c</w:t>
            </w:r>
            <w:r w:rsidR="00590253" w:rsidRPr="0077131C">
              <w:rPr>
                <w:color w:val="auto"/>
                <w:sz w:val="23"/>
                <w:szCs w:val="23"/>
              </w:rPr>
              <w:t xml:space="preserve">mm) </w:t>
            </w:r>
          </w:p>
        </w:tc>
        <w:tc>
          <w:tcPr>
            <w:tcW w:w="4140" w:type="dxa"/>
          </w:tcPr>
          <w:p w:rsidR="00590253" w:rsidRPr="0077131C" w:rsidRDefault="00590253" w:rsidP="00D6432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211-621</w:t>
            </w:r>
          </w:p>
        </w:tc>
        <w:tc>
          <w:tcPr>
            <w:tcW w:w="1260" w:type="dxa"/>
          </w:tcPr>
          <w:p w:rsidR="00590253" w:rsidRPr="0077131C" w:rsidRDefault="00D32E72" w:rsidP="00D64322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4</w:t>
            </w:r>
            <w:r w:rsidR="00995280" w:rsidRPr="0077131C">
              <w:rPr>
                <w:rFonts w:ascii="Times New Roman" w:hAnsi="Times New Roman" w:cs="Times New Roman"/>
              </w:rPr>
              <w:t>12</w:t>
            </w:r>
          </w:p>
        </w:tc>
      </w:tr>
      <w:tr w:rsidR="00E73EB8" w:rsidRPr="0077131C" w:rsidTr="00D64322">
        <w:tc>
          <w:tcPr>
            <w:tcW w:w="2628" w:type="dxa"/>
          </w:tcPr>
          <w:p w:rsidR="00E73EB8" w:rsidRPr="0077131C" w:rsidRDefault="00E73EB8" w:rsidP="009168E7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SGPT(U/L) </w:t>
            </w:r>
          </w:p>
        </w:tc>
        <w:tc>
          <w:tcPr>
            <w:tcW w:w="4140" w:type="dxa"/>
          </w:tcPr>
          <w:p w:rsidR="00E73EB8" w:rsidRPr="0077131C" w:rsidRDefault="00E73EB8" w:rsidP="009168E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10-109</w:t>
            </w:r>
          </w:p>
        </w:tc>
        <w:tc>
          <w:tcPr>
            <w:tcW w:w="1260" w:type="dxa"/>
          </w:tcPr>
          <w:p w:rsidR="00E73EB8" w:rsidRPr="0077131C" w:rsidRDefault="00E73EB8" w:rsidP="00E73EB8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28</w:t>
            </w:r>
          </w:p>
        </w:tc>
      </w:tr>
      <w:tr w:rsidR="00E73EB8" w:rsidRPr="0077131C" w:rsidTr="00D64322">
        <w:tc>
          <w:tcPr>
            <w:tcW w:w="2628" w:type="dxa"/>
          </w:tcPr>
          <w:p w:rsidR="00E73EB8" w:rsidRPr="0077131C" w:rsidRDefault="00E73EB8" w:rsidP="009168E7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SGOT (U/L) </w:t>
            </w:r>
          </w:p>
        </w:tc>
        <w:tc>
          <w:tcPr>
            <w:tcW w:w="4140" w:type="dxa"/>
          </w:tcPr>
          <w:p w:rsidR="00E73EB8" w:rsidRPr="0077131C" w:rsidRDefault="00E73EB8" w:rsidP="009168E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13-15</w:t>
            </w:r>
          </w:p>
        </w:tc>
        <w:tc>
          <w:tcPr>
            <w:tcW w:w="1260" w:type="dxa"/>
          </w:tcPr>
          <w:p w:rsidR="00E73EB8" w:rsidRPr="0077131C" w:rsidRDefault="00E73EB8" w:rsidP="00E73EB8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23</w:t>
            </w:r>
          </w:p>
        </w:tc>
      </w:tr>
      <w:tr w:rsidR="00E73EB8" w:rsidRPr="0077131C" w:rsidTr="00D64322">
        <w:tc>
          <w:tcPr>
            <w:tcW w:w="2628" w:type="dxa"/>
          </w:tcPr>
          <w:p w:rsidR="00E73EB8" w:rsidRPr="0077131C" w:rsidRDefault="00E73EB8" w:rsidP="009168E7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lastRenderedPageBreak/>
              <w:t xml:space="preserve">BUN (mg/dl) </w:t>
            </w:r>
          </w:p>
        </w:tc>
        <w:tc>
          <w:tcPr>
            <w:tcW w:w="4140" w:type="dxa"/>
          </w:tcPr>
          <w:p w:rsidR="00E73EB8" w:rsidRPr="0077131C" w:rsidRDefault="00E73EB8" w:rsidP="009168E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8-28</w:t>
            </w:r>
          </w:p>
        </w:tc>
        <w:tc>
          <w:tcPr>
            <w:tcW w:w="1260" w:type="dxa"/>
          </w:tcPr>
          <w:p w:rsidR="00E73EB8" w:rsidRPr="0077131C" w:rsidRDefault="00E73EB8" w:rsidP="00E73EB8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13</w:t>
            </w:r>
          </w:p>
        </w:tc>
      </w:tr>
      <w:tr w:rsidR="00E73EB8" w:rsidRPr="0077131C" w:rsidTr="00D64322">
        <w:tc>
          <w:tcPr>
            <w:tcW w:w="2628" w:type="dxa"/>
          </w:tcPr>
          <w:p w:rsidR="00E73EB8" w:rsidRPr="0077131C" w:rsidRDefault="00E73EB8" w:rsidP="009168E7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Creatinine(mg/dl) </w:t>
            </w:r>
          </w:p>
        </w:tc>
        <w:tc>
          <w:tcPr>
            <w:tcW w:w="4140" w:type="dxa"/>
          </w:tcPr>
          <w:p w:rsidR="00E73EB8" w:rsidRPr="0077131C" w:rsidRDefault="00E73EB8" w:rsidP="009168E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0.5-1.7</w:t>
            </w:r>
          </w:p>
        </w:tc>
        <w:tc>
          <w:tcPr>
            <w:tcW w:w="1260" w:type="dxa"/>
          </w:tcPr>
          <w:p w:rsidR="00E73EB8" w:rsidRPr="0077131C" w:rsidRDefault="00E73EB8" w:rsidP="00E73EB8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0.4</w:t>
            </w:r>
          </w:p>
        </w:tc>
      </w:tr>
      <w:tr w:rsidR="00E73EB8" w:rsidRPr="0077131C" w:rsidTr="00D64322">
        <w:tc>
          <w:tcPr>
            <w:tcW w:w="2628" w:type="dxa"/>
          </w:tcPr>
          <w:p w:rsidR="00E73EB8" w:rsidRPr="0077131C" w:rsidRDefault="00E73EB8" w:rsidP="009168E7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Total Protein (mg/dl) </w:t>
            </w:r>
          </w:p>
        </w:tc>
        <w:tc>
          <w:tcPr>
            <w:tcW w:w="4140" w:type="dxa"/>
          </w:tcPr>
          <w:p w:rsidR="00E73EB8" w:rsidRPr="0077131C" w:rsidRDefault="00E73EB8" w:rsidP="009168E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5.4-7.5</w:t>
            </w:r>
          </w:p>
        </w:tc>
        <w:tc>
          <w:tcPr>
            <w:tcW w:w="1260" w:type="dxa"/>
          </w:tcPr>
          <w:p w:rsidR="00E73EB8" w:rsidRPr="0077131C" w:rsidRDefault="00E73EB8" w:rsidP="00E73EB8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7.2</w:t>
            </w:r>
          </w:p>
        </w:tc>
      </w:tr>
      <w:tr w:rsidR="00E73EB8" w:rsidRPr="0077131C" w:rsidTr="00D64322">
        <w:tc>
          <w:tcPr>
            <w:tcW w:w="2628" w:type="dxa"/>
          </w:tcPr>
          <w:p w:rsidR="00E73EB8" w:rsidRPr="0077131C" w:rsidRDefault="00E73EB8" w:rsidP="009168E7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Albumin (mg/dl) </w:t>
            </w:r>
          </w:p>
        </w:tc>
        <w:tc>
          <w:tcPr>
            <w:tcW w:w="4140" w:type="dxa"/>
          </w:tcPr>
          <w:p w:rsidR="00E73EB8" w:rsidRPr="0077131C" w:rsidRDefault="00E73EB8" w:rsidP="009168E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2.3-3.1</w:t>
            </w:r>
          </w:p>
        </w:tc>
        <w:tc>
          <w:tcPr>
            <w:tcW w:w="1260" w:type="dxa"/>
          </w:tcPr>
          <w:p w:rsidR="00E73EB8" w:rsidRPr="0077131C" w:rsidRDefault="00E73EB8" w:rsidP="00E73EB8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3.0</w:t>
            </w:r>
          </w:p>
        </w:tc>
      </w:tr>
      <w:tr w:rsidR="00E73EB8" w:rsidRPr="0077131C" w:rsidTr="00D64322">
        <w:tc>
          <w:tcPr>
            <w:tcW w:w="2628" w:type="dxa"/>
          </w:tcPr>
          <w:p w:rsidR="00E73EB8" w:rsidRPr="0077131C" w:rsidRDefault="00E73EB8" w:rsidP="009168E7">
            <w:pPr>
              <w:pStyle w:val="Default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 xml:space="preserve">Globulin (mg/dl) </w:t>
            </w:r>
          </w:p>
        </w:tc>
        <w:tc>
          <w:tcPr>
            <w:tcW w:w="4140" w:type="dxa"/>
          </w:tcPr>
          <w:p w:rsidR="00E73EB8" w:rsidRPr="0077131C" w:rsidRDefault="00E73EB8" w:rsidP="009168E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131C">
              <w:rPr>
                <w:color w:val="auto"/>
                <w:sz w:val="23"/>
                <w:szCs w:val="23"/>
              </w:rPr>
              <w:t>2.7-4.4</w:t>
            </w:r>
          </w:p>
        </w:tc>
        <w:tc>
          <w:tcPr>
            <w:tcW w:w="1260" w:type="dxa"/>
          </w:tcPr>
          <w:p w:rsidR="00E73EB8" w:rsidRPr="0077131C" w:rsidRDefault="00E73EB8" w:rsidP="00E73EB8">
            <w:pPr>
              <w:jc w:val="center"/>
              <w:rPr>
                <w:rFonts w:ascii="Times New Roman" w:hAnsi="Times New Roman" w:cs="Times New Roman"/>
              </w:rPr>
            </w:pPr>
            <w:r w:rsidRPr="0077131C">
              <w:rPr>
                <w:rFonts w:ascii="Times New Roman" w:hAnsi="Times New Roman" w:cs="Times New Roman"/>
              </w:rPr>
              <w:t>4.2</w:t>
            </w:r>
          </w:p>
        </w:tc>
      </w:tr>
    </w:tbl>
    <w:p w:rsidR="008F42E3" w:rsidRPr="0077131C" w:rsidRDefault="00E66719" w:rsidP="008F42E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131C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3861A3" w:rsidRPr="0077131C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Pr="007713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Source: </w:t>
      </w:r>
      <w:r w:rsidRPr="0077131C">
        <w:rPr>
          <w:rFonts w:ascii="Times New Roman" w:hAnsi="Times New Roman" w:cs="Times New Roman"/>
          <w:bCs/>
          <w:sz w:val="23"/>
          <w:szCs w:val="23"/>
        </w:rPr>
        <w:t>(Merck Veterinary Manual</w:t>
      </w:r>
      <w:r w:rsidR="00084FC8" w:rsidRPr="0077131C">
        <w:rPr>
          <w:rFonts w:ascii="Times New Roman" w:hAnsi="Times New Roman" w:cs="Times New Roman"/>
          <w:bCs/>
          <w:sz w:val="23"/>
          <w:szCs w:val="23"/>
        </w:rPr>
        <w:t>, 11</w:t>
      </w:r>
      <w:r w:rsidR="00084FC8" w:rsidRPr="0077131C">
        <w:rPr>
          <w:rFonts w:ascii="Times New Roman" w:hAnsi="Times New Roman" w:cs="Times New Roman"/>
          <w:bCs/>
          <w:sz w:val="23"/>
          <w:szCs w:val="23"/>
          <w:vertAlign w:val="superscript"/>
        </w:rPr>
        <w:t>th</w:t>
      </w:r>
      <w:r w:rsidR="003861A3" w:rsidRPr="0077131C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="003861A3" w:rsidRPr="0077131C">
        <w:rPr>
          <w:rFonts w:ascii="Times New Roman" w:hAnsi="Times New Roman" w:cs="Times New Roman"/>
          <w:bCs/>
          <w:sz w:val="23"/>
          <w:szCs w:val="23"/>
        </w:rPr>
        <w:t>Edition</w:t>
      </w:r>
      <w:r w:rsidR="00084FC8" w:rsidRPr="0077131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77131C">
        <w:rPr>
          <w:rFonts w:ascii="Times New Roman" w:hAnsi="Times New Roman" w:cs="Times New Roman"/>
          <w:bCs/>
          <w:sz w:val="23"/>
          <w:szCs w:val="23"/>
        </w:rPr>
        <w:t>)</w:t>
      </w:r>
      <w:proofErr w:type="gramEnd"/>
    </w:p>
    <w:p w:rsidR="001F481D" w:rsidRPr="0077131C" w:rsidRDefault="001F481D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1DF9" w:rsidRPr="0077131C" w:rsidRDefault="00A647F4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Treatment</w:t>
      </w:r>
    </w:p>
    <w:p w:rsidR="006B248D" w:rsidRPr="0077131C" w:rsidRDefault="00296EF9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Treatment was</w:t>
      </w:r>
      <w:r w:rsidR="00AF5F8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instituted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AF5F8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lomipramine @1 mg/kg, PO, BID</w:t>
      </w:r>
      <w:r w:rsidR="00AF5F8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14 days followed by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2 mg/kg, PO, BID for next 14 days</w:t>
      </w:r>
      <w:r w:rsidR="00AF5F8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along with supportive therapy of  Hepato-protectants and proton pump inhibitor (O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meprazole</w:t>
      </w:r>
      <w:r w:rsidR="00AF5F8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@</w:t>
      </w:r>
      <w:r w:rsidR="00AF5F8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0.5 mg/kg PO</w:t>
      </w:r>
      <w:r w:rsidR="00AF5F8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once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day for 4 weeks.</w:t>
      </w:r>
    </w:p>
    <w:p w:rsidR="00566A5E" w:rsidRPr="0077131C" w:rsidRDefault="00296EF9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Result and </w:t>
      </w:r>
      <w:r w:rsidR="006B248D"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Discussion</w:t>
      </w:r>
    </w:p>
    <w:p w:rsidR="001A77D7" w:rsidRPr="0077131C" w:rsidRDefault="00E01800" w:rsidP="007271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sz w:val="24"/>
          <w:szCs w:val="24"/>
          <w:lang w:val="en-IN"/>
        </w:rPr>
        <w:t>A repetitive and unruly behavior without an apparent goal is</w:t>
      </w:r>
      <w:r w:rsidR="00CF07F0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pets are being frequently recorded</w:t>
      </w:r>
      <w:r w:rsidR="00566A5E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CF07F0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The appearance of such </w:t>
      </w:r>
      <w:r w:rsidR="00566A5E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stereotypy </w:t>
      </w:r>
      <w:r w:rsidR="00CF07F0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is suggestive of improper </w:t>
      </w:r>
      <w:r w:rsidR="00566A5E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welfare, </w:t>
      </w:r>
      <w:r w:rsidR="00CF07F0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changed environment, social separation 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or and</w:t>
      </w:r>
      <w:r w:rsidR="00566A5E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/or the result of </w:t>
      </w:r>
      <w:r w:rsidR="00CF07F0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nervous </w:t>
      </w:r>
      <w:r w:rsidR="00566A5E" w:rsidRPr="0077131C">
        <w:rPr>
          <w:rFonts w:ascii="Times New Roman" w:hAnsi="Times New Roman" w:cs="Times New Roman"/>
          <w:sz w:val="24"/>
          <w:szCs w:val="24"/>
          <w:lang w:val="en-IN"/>
        </w:rPr>
        <w:t>dysfunction</w:t>
      </w:r>
      <w:r w:rsidR="00CF07F0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270FAC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Recently, the highly significant association of CCD with the CDH2 region on chromosome 7 of Doberman pincher has been established (Dodman et al., 2010). </w:t>
      </w:r>
      <w:r w:rsidR="001356DD" w:rsidRPr="0077131C">
        <w:rPr>
          <w:rFonts w:ascii="Times New Roman" w:hAnsi="Times New Roman" w:cs="Times New Roman"/>
          <w:sz w:val="24"/>
          <w:szCs w:val="24"/>
          <w:lang w:val="en-IN"/>
        </w:rPr>
        <w:t>The repetitive behaviors interfere with the daily functioning of their dogs, preventing them from being able to eat, play, and interact normally with people (Overall &amp; Dunham, 2002).</w:t>
      </w:r>
      <w:r w:rsidR="001356D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Stereotypic behaviors may or may not be associated with </w:t>
      </w:r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CD and it appears during the period of social maturity (Hewson et al., 1999 and Overall</w:t>
      </w:r>
      <w:r w:rsidR="002E066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Dunham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2000). </w:t>
      </w:r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Similar to CCD, obsessive compulsive disorder (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OCD</w:t>
      </w:r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is result of 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abnormal serotonin metabolism</w:t>
      </w:r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human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(Murphy, 1990). Hence, </w:t>
      </w:r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clomipramine </w:t>
      </w:r>
      <w:proofErr w:type="gramStart"/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a tricyclic</w:t>
      </w:r>
      <w:proofErr w:type="gramEnd"/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antidepressants (TCA) which targets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the serotonergic</w:t>
      </w:r>
      <w:r w:rsidR="00CF07F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metabolism were found useful in the management of CCD 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(Overall </w:t>
      </w:r>
      <w:r w:rsidR="002E066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and Dunham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2000). </w:t>
      </w:r>
      <w:r w:rsidR="0042686C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Similarly, fluoxetine, a selective serotonin reuptake inhibitor at the dose rate of 1 to 2 mg/kg, PO daily for 7 weeks was found effective in reducing the severity of CCD in affected dogs (</w:t>
      </w:r>
      <w:r w:rsidR="0042686C" w:rsidRPr="0077131C">
        <w:rPr>
          <w:rFonts w:ascii="Times New Roman" w:hAnsi="Times New Roman" w:cs="Times New Roman"/>
          <w:sz w:val="24"/>
          <w:szCs w:val="24"/>
        </w:rPr>
        <w:t xml:space="preserve">Irimajiri </w:t>
      </w:r>
      <w:r w:rsidR="0042686C" w:rsidRPr="0077131C">
        <w:rPr>
          <w:rFonts w:ascii="Times New Roman" w:hAnsi="Times New Roman" w:cs="Times New Roman"/>
          <w:i/>
          <w:sz w:val="24"/>
          <w:szCs w:val="24"/>
        </w:rPr>
        <w:t>et al.,</w:t>
      </w:r>
      <w:r w:rsidR="0042686C" w:rsidRPr="0077131C">
        <w:rPr>
          <w:rFonts w:ascii="Times New Roman" w:hAnsi="Times New Roman" w:cs="Times New Roman"/>
          <w:sz w:val="24"/>
          <w:szCs w:val="24"/>
        </w:rPr>
        <w:t xml:space="preserve"> 2009)</w:t>
      </w:r>
      <w:r w:rsidR="0042686C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01A6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To reduce chance of gastrointestinal disorder which have been generally seen after clomipramine treatment, the gradual increase in dosage  of clomipramine (1 mg/kg, PO, BID for 14 days, then 2 mg/kg, PO, BID for next 14 days</w:t>
      </w:r>
      <w:r w:rsidR="00646CB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(King et al., 2000) </w:t>
      </w:r>
      <w:r w:rsidR="00BE01A6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646CB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present case administration of omeprazole </w:t>
      </w:r>
      <w:r w:rsidR="00BE01A6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6B248D" w:rsidRPr="0077131C">
        <w:rPr>
          <w:rFonts w:ascii="Times New Roman" w:hAnsi="Times New Roman" w:cs="Times New Roman"/>
          <w:sz w:val="24"/>
          <w:szCs w:val="24"/>
        </w:rPr>
        <w:t>diminishing gastric acidity</w:t>
      </w:r>
      <w:r w:rsidR="00784050" w:rsidRPr="0077131C">
        <w:rPr>
          <w:rFonts w:ascii="Times New Roman" w:hAnsi="Times New Roman" w:cs="Times New Roman"/>
          <w:sz w:val="24"/>
          <w:szCs w:val="24"/>
        </w:rPr>
        <w:t xml:space="preserve"> (Patel </w:t>
      </w:r>
      <w:r w:rsidR="000E7AA5" w:rsidRPr="0077131C">
        <w:rPr>
          <w:rFonts w:ascii="Times New Roman" w:hAnsi="Times New Roman" w:cs="Times New Roman"/>
          <w:sz w:val="24"/>
          <w:szCs w:val="24"/>
        </w:rPr>
        <w:t xml:space="preserve"> </w:t>
      </w:r>
      <w:r w:rsidR="00784050" w:rsidRPr="0077131C">
        <w:rPr>
          <w:rFonts w:ascii="Times New Roman" w:hAnsi="Times New Roman" w:cs="Times New Roman"/>
          <w:sz w:val="24"/>
          <w:szCs w:val="24"/>
        </w:rPr>
        <w:t>et al.,2018)</w:t>
      </w:r>
      <w:r w:rsidR="00646CB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OCD is generally associated with elevated blood cholesterol level, so it can be managed with hepatotonics medicine and avoidance of lipid diet to the dog </w:t>
      </w:r>
      <w:r w:rsidR="00646CBF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12F9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Kumar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48D" w:rsidRPr="007713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 al</w:t>
      </w:r>
      <w:r w:rsidR="006B248D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., 2012).</w:t>
      </w:r>
    </w:p>
    <w:p w:rsidR="0072716A" w:rsidRPr="0077131C" w:rsidRDefault="0072716A" w:rsidP="007271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16A" w:rsidRPr="0077131C" w:rsidRDefault="0072716A" w:rsidP="007271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16A" w:rsidRPr="0077131C" w:rsidRDefault="0072716A" w:rsidP="007271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7D7" w:rsidRPr="0077131C" w:rsidRDefault="001A77D7" w:rsidP="003A1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720" w:rsidRPr="0077131C" w:rsidRDefault="003A1720" w:rsidP="003A1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Conclusion</w:t>
      </w:r>
    </w:p>
    <w:p w:rsidR="00AD4504" w:rsidRPr="0077131C" w:rsidRDefault="00E444D8" w:rsidP="00270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Stereotypic behavior of excess </w:t>
      </w:r>
      <w:r w:rsidRPr="0077131C">
        <w:rPr>
          <w:rFonts w:ascii="Times New Roman" w:hAnsi="Times New Roman" w:cs="Times New Roman"/>
          <w:sz w:val="24"/>
          <w:szCs w:val="24"/>
        </w:rPr>
        <w:t>circling in own axis</w:t>
      </w:r>
      <w:r w:rsidR="00767097" w:rsidRPr="0077131C">
        <w:rPr>
          <w:rFonts w:ascii="Times New Roman" w:hAnsi="Times New Roman" w:cs="Times New Roman"/>
          <w:sz w:val="24"/>
          <w:szCs w:val="24"/>
        </w:rPr>
        <w:t xml:space="preserve"> and tail chasing</w:t>
      </w:r>
      <w:r w:rsidRPr="0077131C">
        <w:rPr>
          <w:rFonts w:ascii="Times New Roman" w:hAnsi="Times New Roman" w:cs="Times New Roman"/>
          <w:sz w:val="24"/>
          <w:szCs w:val="24"/>
        </w:rPr>
        <w:t xml:space="preserve"> 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without an apparent goal</w:t>
      </w:r>
      <w:r w:rsidRPr="0077131C">
        <w:rPr>
          <w:rFonts w:ascii="Times New Roman" w:hAnsi="Times New Roman" w:cs="Times New Roman"/>
          <w:sz w:val="24"/>
          <w:szCs w:val="24"/>
        </w:rPr>
        <w:t xml:space="preserve"> is </w:t>
      </w:r>
      <w:r w:rsidR="001A77D7" w:rsidRPr="0077131C">
        <w:rPr>
          <w:rFonts w:ascii="Times New Roman" w:hAnsi="Times New Roman" w:cs="Times New Roman"/>
          <w:sz w:val="24"/>
          <w:szCs w:val="24"/>
        </w:rPr>
        <w:t>a</w:t>
      </w:r>
      <w:r w:rsidRPr="0077131C">
        <w:rPr>
          <w:rFonts w:ascii="Times New Roman" w:hAnsi="Times New Roman" w:cs="Times New Roman"/>
          <w:sz w:val="24"/>
          <w:szCs w:val="24"/>
        </w:rPr>
        <w:t xml:space="preserve"> one type of </w:t>
      </w:r>
      <w:r w:rsidR="00784050" w:rsidRPr="0077131C">
        <w:rPr>
          <w:rFonts w:ascii="Times New Roman" w:hAnsi="Times New Roman" w:cs="Times New Roman"/>
          <w:sz w:val="24"/>
          <w:szCs w:val="24"/>
        </w:rPr>
        <w:t>Canine Compulsive Disorder (CCD)</w:t>
      </w:r>
      <w:r w:rsidR="003A172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172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Such cases can be successfully managed by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Clomipramine along with supportive therapy</w:t>
      </w:r>
      <w:r w:rsidR="003A1720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proper nursing care and management.</w:t>
      </w:r>
    </w:p>
    <w:p w:rsidR="00767097" w:rsidRPr="0077131C" w:rsidRDefault="00767097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1DF9" w:rsidRPr="0077131C" w:rsidRDefault="00281DF9" w:rsidP="00270F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References</w:t>
      </w:r>
    </w:p>
    <w:p w:rsidR="00767097" w:rsidRPr="0077131C" w:rsidRDefault="00767097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proofErr w:type="gramStart"/>
      <w:r w:rsidRPr="0077131C">
        <w:rPr>
          <w:rFonts w:ascii="Times New Roman" w:hAnsi="Times New Roman" w:cs="Times New Roman"/>
          <w:sz w:val="24"/>
          <w:szCs w:val="24"/>
          <w:lang w:val="en-IN"/>
        </w:rPr>
        <w:t>Dodman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N</w:t>
      </w:r>
      <w:r w:rsidR="00025EF9"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H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, Karlsson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E</w:t>
      </w:r>
      <w:r w:rsidR="00025EF9"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K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, Moon-Fanelli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A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, Galdzicka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M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, Perloski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M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, Shuste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r, L., Lindblad-Toh, K., and Ginns, E. I. </w:t>
      </w:r>
      <w:r w:rsidR="00025EF9" w:rsidRPr="0077131C"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2010</w:t>
      </w:r>
      <w:r w:rsidR="00025EF9" w:rsidRPr="0077131C">
        <w:rPr>
          <w:rFonts w:ascii="Times New Roman" w:hAnsi="Times New Roman" w:cs="Times New Roman"/>
          <w:sz w:val="24"/>
          <w:szCs w:val="24"/>
          <w:lang w:val="en-IN"/>
        </w:rPr>
        <w:t>)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  <w:r w:rsidRPr="0077131C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 canine chromosome 7 locus confers compulsive disorder susceptibility.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77131C">
        <w:rPr>
          <w:rFonts w:ascii="Times New Roman" w:hAnsi="Times New Roman" w:cs="Times New Roman"/>
          <w:sz w:val="24"/>
          <w:szCs w:val="24"/>
          <w:lang w:val="en-IN"/>
        </w:rPr>
        <w:t>Mol Psy</w:t>
      </w:r>
      <w:r w:rsidR="00064B67" w:rsidRPr="0077131C">
        <w:rPr>
          <w:rFonts w:ascii="Times New Roman" w:hAnsi="Times New Roman" w:cs="Times New Roman"/>
          <w:sz w:val="24"/>
          <w:szCs w:val="24"/>
          <w:lang w:val="en-IN"/>
        </w:rPr>
        <w:t>chiatry.</w:t>
      </w:r>
      <w:proofErr w:type="gramEnd"/>
      <w:r w:rsidRPr="0077131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77131C">
        <w:rPr>
          <w:rFonts w:ascii="Times New Roman" w:hAnsi="Times New Roman" w:cs="Times New Roman"/>
          <w:b/>
          <w:sz w:val="24"/>
          <w:szCs w:val="24"/>
          <w:lang w:val="en-IN"/>
        </w:rPr>
        <w:t>15(1):</w:t>
      </w:r>
      <w:r w:rsidRPr="0077131C">
        <w:rPr>
          <w:rFonts w:ascii="Times New Roman" w:hAnsi="Times New Roman" w:cs="Times New Roman"/>
          <w:sz w:val="24"/>
          <w:szCs w:val="24"/>
          <w:lang w:val="en-IN"/>
        </w:rPr>
        <w:t>8-10.</w:t>
      </w:r>
      <w:r w:rsidRPr="0077131C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767097" w:rsidRPr="0077131C" w:rsidRDefault="00767097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Hewson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, Luescher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Ball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1999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use of chance corrected agreement to diagnose canine compulsive disorder: an approach to behavioral diagnosis in the absence of a ‘gold standard’. Can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Vet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</w:t>
      </w:r>
      <w:r w:rsidR="00064B6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63:</w:t>
      </w:r>
      <w:r w:rsidR="00B8320A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201–206.</w:t>
      </w:r>
    </w:p>
    <w:p w:rsidR="00D4160E" w:rsidRPr="0077131C" w:rsidRDefault="00025EF9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31C">
        <w:rPr>
          <w:rFonts w:ascii="Times New Roman" w:hAnsi="Times New Roman" w:cs="Times New Roman"/>
          <w:sz w:val="24"/>
          <w:szCs w:val="24"/>
        </w:rPr>
        <w:t>Irimajiri, M., Luescher, A.</w:t>
      </w:r>
      <w:r w:rsidR="00D4160E" w:rsidRPr="0077131C">
        <w:rPr>
          <w:rFonts w:ascii="Times New Roman" w:hAnsi="Times New Roman" w:cs="Times New Roman"/>
          <w:sz w:val="24"/>
          <w:szCs w:val="24"/>
        </w:rPr>
        <w:t xml:space="preserve">U., Douglass, G., Robertson-Plouch, C., Zimmermann, A., and Hozak, R. </w:t>
      </w:r>
      <w:r w:rsidRPr="0077131C">
        <w:rPr>
          <w:rFonts w:ascii="Times New Roman" w:hAnsi="Times New Roman" w:cs="Times New Roman"/>
          <w:sz w:val="24"/>
          <w:szCs w:val="24"/>
        </w:rPr>
        <w:t>(</w:t>
      </w:r>
      <w:r w:rsidR="00D4160E" w:rsidRPr="0077131C">
        <w:rPr>
          <w:rFonts w:ascii="Times New Roman" w:hAnsi="Times New Roman" w:cs="Times New Roman"/>
          <w:sz w:val="24"/>
          <w:szCs w:val="24"/>
        </w:rPr>
        <w:t>2009</w:t>
      </w:r>
      <w:r w:rsidRPr="0077131C">
        <w:rPr>
          <w:rFonts w:ascii="Times New Roman" w:hAnsi="Times New Roman" w:cs="Times New Roman"/>
          <w:sz w:val="24"/>
          <w:szCs w:val="24"/>
        </w:rPr>
        <w:t>)</w:t>
      </w:r>
      <w:r w:rsidR="00D4160E" w:rsidRPr="00771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60E" w:rsidRPr="00771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60E" w:rsidRPr="0077131C">
        <w:rPr>
          <w:rFonts w:ascii="Times New Roman" w:hAnsi="Times New Roman" w:cs="Times New Roman"/>
          <w:sz w:val="24"/>
          <w:szCs w:val="24"/>
        </w:rPr>
        <w:t>Randomized, controlled clinical trial of the efficacy of fluoxetine for treatment of compulsive disorders in dogs.</w:t>
      </w:r>
      <w:proofErr w:type="gramEnd"/>
      <w:r w:rsidR="00D4160E" w:rsidRPr="0077131C">
        <w:rPr>
          <w:rFonts w:ascii="Times New Roman" w:hAnsi="Times New Roman" w:cs="Times New Roman"/>
          <w:sz w:val="24"/>
          <w:szCs w:val="24"/>
        </w:rPr>
        <w:t> </w:t>
      </w:r>
      <w:r w:rsidR="00F36C39" w:rsidRPr="0077131C">
        <w:rPr>
          <w:rFonts w:ascii="Times New Roman" w:hAnsi="Times New Roman" w:cs="Times New Roman"/>
          <w:iCs/>
          <w:sz w:val="24"/>
          <w:szCs w:val="24"/>
        </w:rPr>
        <w:t>J. Am. Vet. Med. Assoc</w:t>
      </w:r>
      <w:r w:rsidR="00F36C39" w:rsidRPr="0077131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160E" w:rsidRPr="0077131C">
        <w:rPr>
          <w:rFonts w:ascii="Times New Roman" w:hAnsi="Times New Roman" w:cs="Times New Roman"/>
          <w:sz w:val="24"/>
          <w:szCs w:val="24"/>
        </w:rPr>
        <w:t> </w:t>
      </w:r>
      <w:r w:rsidR="00D4160E" w:rsidRPr="0077131C">
        <w:rPr>
          <w:rFonts w:ascii="Times New Roman" w:hAnsi="Times New Roman" w:cs="Times New Roman"/>
          <w:b/>
          <w:iCs/>
          <w:sz w:val="24"/>
          <w:szCs w:val="24"/>
        </w:rPr>
        <w:t>235</w:t>
      </w:r>
      <w:r w:rsidR="00D4160E" w:rsidRPr="0077131C">
        <w:rPr>
          <w:rFonts w:ascii="Times New Roman" w:hAnsi="Times New Roman" w:cs="Times New Roman"/>
          <w:b/>
          <w:sz w:val="24"/>
          <w:szCs w:val="24"/>
        </w:rPr>
        <w:t>(6):</w:t>
      </w:r>
      <w:r w:rsidR="00D4160E" w:rsidRPr="0077131C">
        <w:rPr>
          <w:rFonts w:ascii="Times New Roman" w:hAnsi="Times New Roman" w:cs="Times New Roman"/>
          <w:sz w:val="24"/>
          <w:szCs w:val="24"/>
        </w:rPr>
        <w:t xml:space="preserve"> 705-709.</w:t>
      </w:r>
    </w:p>
    <w:p w:rsidR="00D4160E" w:rsidRPr="0077131C" w:rsidRDefault="00025EF9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31C">
        <w:rPr>
          <w:rFonts w:ascii="Times New Roman" w:hAnsi="Times New Roman" w:cs="Times New Roman"/>
          <w:sz w:val="24"/>
          <w:szCs w:val="24"/>
        </w:rPr>
        <w:t>King, J.N., Simpson, B. S., Overall, K.</w:t>
      </w:r>
      <w:r w:rsidR="00D4160E" w:rsidRPr="0077131C">
        <w:rPr>
          <w:rFonts w:ascii="Times New Roman" w:hAnsi="Times New Roman" w:cs="Times New Roman"/>
          <w:sz w:val="24"/>
          <w:szCs w:val="24"/>
        </w:rPr>
        <w:t xml:space="preserve">L., Appleby, D., Pageat, P., Ross, C., and Muller, G. </w:t>
      </w:r>
      <w:r w:rsidRPr="0077131C">
        <w:rPr>
          <w:rFonts w:ascii="Times New Roman" w:hAnsi="Times New Roman" w:cs="Times New Roman"/>
          <w:sz w:val="24"/>
          <w:szCs w:val="24"/>
        </w:rPr>
        <w:t>(</w:t>
      </w:r>
      <w:r w:rsidR="00D4160E" w:rsidRPr="0077131C">
        <w:rPr>
          <w:rFonts w:ascii="Times New Roman" w:hAnsi="Times New Roman" w:cs="Times New Roman"/>
          <w:sz w:val="24"/>
          <w:szCs w:val="24"/>
        </w:rPr>
        <w:t>2000</w:t>
      </w:r>
      <w:r w:rsidRPr="0077131C">
        <w:rPr>
          <w:rFonts w:ascii="Times New Roman" w:hAnsi="Times New Roman" w:cs="Times New Roman"/>
          <w:sz w:val="24"/>
          <w:szCs w:val="24"/>
        </w:rPr>
        <w:t>)</w:t>
      </w:r>
      <w:r w:rsidR="00D4160E" w:rsidRPr="00771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60E" w:rsidRPr="0077131C">
        <w:rPr>
          <w:rFonts w:ascii="Times New Roman" w:hAnsi="Times New Roman" w:cs="Times New Roman"/>
          <w:sz w:val="24"/>
          <w:szCs w:val="24"/>
        </w:rPr>
        <w:t xml:space="preserve"> Treatment of separation anxiety in dogs with clomipramine: results from a prospective, randomized, double-blind, placebo-controlled, parallel-group, multicenter clinical trial. </w:t>
      </w:r>
      <w:r w:rsidR="00D4160E" w:rsidRPr="0077131C">
        <w:rPr>
          <w:rFonts w:ascii="Times New Roman" w:hAnsi="Times New Roman" w:cs="Times New Roman"/>
          <w:iCs/>
          <w:sz w:val="24"/>
          <w:szCs w:val="24"/>
        </w:rPr>
        <w:t>Appl. Anim. Behav. Sci.</w:t>
      </w:r>
      <w:r w:rsidR="00685D70" w:rsidRPr="00771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160E" w:rsidRPr="0077131C">
        <w:rPr>
          <w:rFonts w:ascii="Times New Roman" w:hAnsi="Times New Roman" w:cs="Times New Roman"/>
          <w:b/>
          <w:iCs/>
          <w:sz w:val="24"/>
          <w:szCs w:val="24"/>
        </w:rPr>
        <w:t>67</w:t>
      </w:r>
      <w:r w:rsidR="00D4160E" w:rsidRPr="0077131C">
        <w:rPr>
          <w:rFonts w:ascii="Times New Roman" w:hAnsi="Times New Roman" w:cs="Times New Roman"/>
          <w:b/>
          <w:sz w:val="24"/>
          <w:szCs w:val="24"/>
        </w:rPr>
        <w:t>(4):</w:t>
      </w:r>
      <w:r w:rsidR="00D4160E" w:rsidRPr="0077131C">
        <w:rPr>
          <w:rFonts w:ascii="Times New Roman" w:hAnsi="Times New Roman" w:cs="Times New Roman"/>
          <w:sz w:val="24"/>
          <w:szCs w:val="24"/>
        </w:rPr>
        <w:t xml:space="preserve"> 255-275.</w:t>
      </w:r>
    </w:p>
    <w:p w:rsidR="00767097" w:rsidRPr="0077131C" w:rsidRDefault="00767097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7131C">
        <w:rPr>
          <w:rFonts w:ascii="Times New Roman" w:hAnsi="Times New Roman" w:cs="Times New Roman"/>
          <w:sz w:val="24"/>
          <w:szCs w:val="24"/>
        </w:rPr>
        <w:t>Kumar, A., Dar, A.</w:t>
      </w:r>
      <w:r w:rsidR="00025EF9" w:rsidRPr="0077131C">
        <w:rPr>
          <w:rFonts w:ascii="Times New Roman" w:hAnsi="Times New Roman" w:cs="Times New Roman"/>
          <w:sz w:val="24"/>
          <w:szCs w:val="24"/>
        </w:rPr>
        <w:t>A., Singh, S.K., Ansari, A.</w:t>
      </w:r>
      <w:r w:rsidRPr="0077131C">
        <w:rPr>
          <w:rFonts w:ascii="Times New Roman" w:hAnsi="Times New Roman" w:cs="Times New Roman"/>
          <w:sz w:val="24"/>
          <w:szCs w:val="24"/>
        </w:rPr>
        <w:t xml:space="preserve">A. and Dey, S. </w:t>
      </w:r>
      <w:r w:rsidR="00025EF9" w:rsidRPr="0077131C">
        <w:rPr>
          <w:rFonts w:ascii="Times New Roman" w:hAnsi="Times New Roman" w:cs="Times New Roman"/>
          <w:sz w:val="24"/>
          <w:szCs w:val="24"/>
        </w:rPr>
        <w:t>(</w:t>
      </w:r>
      <w:r w:rsidRPr="0077131C">
        <w:rPr>
          <w:rFonts w:ascii="Times New Roman" w:hAnsi="Times New Roman" w:cs="Times New Roman"/>
          <w:sz w:val="24"/>
          <w:szCs w:val="24"/>
        </w:rPr>
        <w:t>2012</w:t>
      </w:r>
      <w:r w:rsidR="00025EF9" w:rsidRPr="0077131C">
        <w:rPr>
          <w:rFonts w:ascii="Times New Roman" w:hAnsi="Times New Roman" w:cs="Times New Roman"/>
          <w:sz w:val="24"/>
          <w:szCs w:val="24"/>
        </w:rPr>
        <w:t>)</w:t>
      </w:r>
      <w:r w:rsidRPr="0077131C">
        <w:rPr>
          <w:rFonts w:ascii="Times New Roman" w:hAnsi="Times New Roman" w:cs="Times New Roman"/>
          <w:sz w:val="24"/>
          <w:szCs w:val="24"/>
        </w:rPr>
        <w:t>. Tail chasing in a German shepherd dog: A c</w:t>
      </w:r>
      <w:r w:rsidR="00D4160E" w:rsidRPr="0077131C">
        <w:rPr>
          <w:rFonts w:ascii="Times New Roman" w:hAnsi="Times New Roman" w:cs="Times New Roman"/>
          <w:sz w:val="24"/>
          <w:szCs w:val="24"/>
        </w:rPr>
        <w:t xml:space="preserve">ompulsive obsessive disorder. I. </w:t>
      </w:r>
      <w:r w:rsidRPr="0077131C">
        <w:rPr>
          <w:rFonts w:ascii="Times New Roman" w:hAnsi="Times New Roman" w:cs="Times New Roman"/>
          <w:sz w:val="24"/>
          <w:szCs w:val="24"/>
        </w:rPr>
        <w:t xml:space="preserve">J. Vet. Med. </w:t>
      </w:r>
      <w:r w:rsidRPr="0077131C">
        <w:rPr>
          <w:rFonts w:ascii="Times New Roman" w:hAnsi="Times New Roman" w:cs="Times New Roman"/>
          <w:b/>
          <w:sz w:val="24"/>
          <w:szCs w:val="24"/>
        </w:rPr>
        <w:t>32(1):</w:t>
      </w:r>
      <w:r w:rsidRPr="0077131C">
        <w:rPr>
          <w:rFonts w:ascii="Times New Roman" w:hAnsi="Times New Roman" w:cs="Times New Roman"/>
          <w:sz w:val="24"/>
          <w:szCs w:val="24"/>
        </w:rPr>
        <w:t xml:space="preserve"> 52-53.</w:t>
      </w:r>
    </w:p>
    <w:p w:rsidR="00767097" w:rsidRPr="0077131C" w:rsidRDefault="00767097" w:rsidP="000602BC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77131C">
        <w:rPr>
          <w:rFonts w:ascii="Times New Roman" w:hAnsi="Times New Roman" w:cs="Times New Roman"/>
          <w:bCs/>
          <w:szCs w:val="23"/>
        </w:rPr>
        <w:t>Merck Veterinary Manual.</w:t>
      </w:r>
      <w:proofErr w:type="gramEnd"/>
      <w:r w:rsidRPr="0077131C">
        <w:rPr>
          <w:rFonts w:ascii="Times New Roman" w:hAnsi="Times New Roman" w:cs="Times New Roman"/>
          <w:bCs/>
          <w:szCs w:val="23"/>
        </w:rPr>
        <w:t xml:space="preserve"> </w:t>
      </w:r>
      <w:proofErr w:type="gramStart"/>
      <w:r w:rsidRPr="0077131C">
        <w:rPr>
          <w:rFonts w:ascii="Times New Roman" w:hAnsi="Times New Roman" w:cs="Times New Roman"/>
          <w:bCs/>
          <w:szCs w:val="23"/>
        </w:rPr>
        <w:t>11</w:t>
      </w:r>
      <w:r w:rsidRPr="0077131C">
        <w:rPr>
          <w:rFonts w:ascii="Times New Roman" w:hAnsi="Times New Roman" w:cs="Times New Roman"/>
          <w:bCs/>
          <w:szCs w:val="23"/>
          <w:vertAlign w:val="superscript"/>
        </w:rPr>
        <w:t>th</w:t>
      </w:r>
      <w:r w:rsidRPr="0077131C">
        <w:rPr>
          <w:rFonts w:ascii="Times New Roman" w:hAnsi="Times New Roman" w:cs="Times New Roman"/>
          <w:bCs/>
          <w:szCs w:val="23"/>
        </w:rPr>
        <w:t xml:space="preserve"> Edition, Merck &amp; Co., Inc. Kenilworth, NJ, USA.</w:t>
      </w:r>
      <w:proofErr w:type="gramEnd"/>
    </w:p>
    <w:p w:rsidR="00D4160E" w:rsidRPr="0077131C" w:rsidRDefault="00D4160E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Murphy, D. L. 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1990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 Neuropsychiatric disorders and the multiple human brain serotonin receptor subtypes and subsystems. </w:t>
      </w:r>
      <w:proofErr w:type="gramStart"/>
      <w:r w:rsidRPr="0077131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Neuropsychopharmacology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67097" w:rsidRPr="0077131C" w:rsidRDefault="00025EF9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Overall, K.</w:t>
      </w:r>
      <w:r w:rsidR="0076709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L., and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Dunham, A.</w:t>
      </w:r>
      <w:r w:rsidR="00D4160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4160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2002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6709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6709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Clinical features and outcome in dogs and cats with obsessive-compulsive disorder: 126 cases (1989–2000). </w:t>
      </w:r>
      <w:proofErr w:type="gramStart"/>
      <w:r w:rsidR="00767097" w:rsidRPr="0077131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Journal of the </w:t>
      </w:r>
      <w:r w:rsidR="009D0283" w:rsidRPr="0077131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J. Am. Vet.</w:t>
      </w:r>
      <w:proofErr w:type="gramEnd"/>
      <w:r w:rsidR="009D0283" w:rsidRPr="0077131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Med. Assoc. </w:t>
      </w:r>
      <w:r w:rsidR="0076709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67097" w:rsidRPr="0077131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221</w:t>
      </w:r>
      <w:r w:rsidR="00767097" w:rsidRPr="007713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(10): </w:t>
      </w:r>
      <w:r w:rsidR="00767097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1445-1452.</w:t>
      </w:r>
    </w:p>
    <w:p w:rsidR="00767097" w:rsidRPr="0077131C" w:rsidRDefault="00025EF9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77131C">
        <w:rPr>
          <w:rFonts w:ascii="Times New Roman" w:hAnsi="Times New Roman" w:cs="Times New Roman"/>
          <w:sz w:val="24"/>
          <w:szCs w:val="24"/>
        </w:rPr>
        <w:t>Patel, P.K., Patel, S.K., Dixit, S.</w:t>
      </w:r>
      <w:r w:rsidR="00767097" w:rsidRPr="0077131C">
        <w:rPr>
          <w:rFonts w:ascii="Times New Roman" w:hAnsi="Times New Roman" w:cs="Times New Roman"/>
          <w:sz w:val="24"/>
          <w:szCs w:val="24"/>
        </w:rPr>
        <w:t xml:space="preserve">K., and </w:t>
      </w:r>
      <w:r w:rsidRPr="0077131C">
        <w:rPr>
          <w:rFonts w:ascii="Times New Roman" w:hAnsi="Times New Roman" w:cs="Times New Roman"/>
          <w:sz w:val="24"/>
          <w:szCs w:val="24"/>
        </w:rPr>
        <w:t>Rathore, R.</w:t>
      </w:r>
      <w:r w:rsidR="00D4160E" w:rsidRPr="0077131C">
        <w:rPr>
          <w:rFonts w:ascii="Times New Roman" w:hAnsi="Times New Roman" w:cs="Times New Roman"/>
          <w:sz w:val="24"/>
          <w:szCs w:val="24"/>
        </w:rPr>
        <w:t xml:space="preserve">S. </w:t>
      </w:r>
      <w:r w:rsidRPr="0077131C">
        <w:rPr>
          <w:rFonts w:ascii="Times New Roman" w:hAnsi="Times New Roman" w:cs="Times New Roman"/>
          <w:sz w:val="24"/>
          <w:szCs w:val="24"/>
        </w:rPr>
        <w:t>(</w:t>
      </w:r>
      <w:r w:rsidR="00D4160E" w:rsidRPr="0077131C">
        <w:rPr>
          <w:rFonts w:ascii="Times New Roman" w:hAnsi="Times New Roman" w:cs="Times New Roman"/>
          <w:sz w:val="24"/>
          <w:szCs w:val="24"/>
        </w:rPr>
        <w:t>2018</w:t>
      </w:r>
      <w:r w:rsidRPr="0077131C">
        <w:rPr>
          <w:rFonts w:ascii="Times New Roman" w:hAnsi="Times New Roman" w:cs="Times New Roman"/>
          <w:sz w:val="24"/>
          <w:szCs w:val="24"/>
        </w:rPr>
        <w:t>)</w:t>
      </w:r>
      <w:r w:rsidR="00767097" w:rsidRPr="00771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097" w:rsidRPr="0077131C">
        <w:rPr>
          <w:rFonts w:ascii="Times New Roman" w:hAnsi="Times New Roman" w:cs="Times New Roman"/>
          <w:sz w:val="24"/>
          <w:szCs w:val="24"/>
        </w:rPr>
        <w:t xml:space="preserve"> Gastritis and Peptic Ulcer Diseases in Dogs: A Review. </w:t>
      </w:r>
      <w:r w:rsidR="00767097" w:rsidRPr="0077131C">
        <w:rPr>
          <w:rFonts w:ascii="Times New Roman" w:hAnsi="Times New Roman" w:cs="Times New Roman"/>
          <w:iCs/>
          <w:sz w:val="24"/>
          <w:szCs w:val="24"/>
        </w:rPr>
        <w:t xml:space="preserve">Int. J. Curr. </w:t>
      </w:r>
      <w:proofErr w:type="gramStart"/>
      <w:r w:rsidR="00767097" w:rsidRPr="0077131C">
        <w:rPr>
          <w:rFonts w:ascii="Times New Roman" w:hAnsi="Times New Roman" w:cs="Times New Roman"/>
          <w:iCs/>
          <w:sz w:val="24"/>
          <w:szCs w:val="24"/>
        </w:rPr>
        <w:t>Microbiol.</w:t>
      </w:r>
      <w:proofErr w:type="gramEnd"/>
      <w:r w:rsidR="00767097" w:rsidRPr="0077131C">
        <w:rPr>
          <w:rFonts w:ascii="Times New Roman" w:hAnsi="Times New Roman" w:cs="Times New Roman"/>
          <w:iCs/>
          <w:sz w:val="24"/>
          <w:szCs w:val="24"/>
        </w:rPr>
        <w:t xml:space="preserve"> App. Sci</w:t>
      </w:r>
      <w:r w:rsidR="005A7EE3" w:rsidRPr="0077131C">
        <w:rPr>
          <w:rFonts w:ascii="Times New Roman" w:hAnsi="Times New Roman" w:cs="Times New Roman"/>
          <w:sz w:val="24"/>
          <w:szCs w:val="24"/>
        </w:rPr>
        <w:t>.</w:t>
      </w:r>
      <w:r w:rsidR="00767097" w:rsidRPr="0077131C">
        <w:rPr>
          <w:rFonts w:ascii="Times New Roman" w:hAnsi="Times New Roman" w:cs="Times New Roman"/>
          <w:sz w:val="24"/>
          <w:szCs w:val="24"/>
        </w:rPr>
        <w:t> </w:t>
      </w:r>
      <w:r w:rsidR="00767097" w:rsidRPr="0077131C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767097" w:rsidRPr="0077131C">
        <w:rPr>
          <w:rFonts w:ascii="Times New Roman" w:hAnsi="Times New Roman" w:cs="Times New Roman"/>
          <w:b/>
          <w:sz w:val="24"/>
          <w:szCs w:val="24"/>
        </w:rPr>
        <w:t>(3):</w:t>
      </w:r>
      <w:r w:rsidR="00767097" w:rsidRPr="0077131C">
        <w:rPr>
          <w:rFonts w:ascii="Times New Roman" w:hAnsi="Times New Roman" w:cs="Times New Roman"/>
          <w:sz w:val="24"/>
          <w:szCs w:val="24"/>
        </w:rPr>
        <w:t xml:space="preserve"> 2475-2501.</w:t>
      </w:r>
    </w:p>
    <w:p w:rsidR="00767097" w:rsidRPr="004F2D0D" w:rsidRDefault="00767097" w:rsidP="000602B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Tang, R., Noh, H.J., Wang, D., Sigurdsson, S., Swofford, R.,</w:t>
      </w:r>
      <w:r w:rsidR="00D4160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Perloski, M., and Auton, A. 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4160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="00025EF9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Candidate genes and functional noncoding variants identified in a canine model of obsessive-compulsive disorder. </w:t>
      </w:r>
      <w:r w:rsidR="009D0283" w:rsidRPr="0077131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Genome Biol</w:t>
      </w:r>
      <w:r w:rsidR="00D4160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131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15</w:t>
      </w:r>
      <w:r w:rsidR="00D4160E"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>(3):</w:t>
      </w:r>
      <w:r w:rsidRPr="0077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R25.</w:t>
      </w:r>
    </w:p>
    <w:sectPr w:rsidR="00767097" w:rsidRPr="004F2D0D" w:rsidSect="00A1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C9C"/>
    <w:multiLevelType w:val="hybridMultilevel"/>
    <w:tmpl w:val="130AE90A"/>
    <w:lvl w:ilvl="0" w:tplc="4CA23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D1DC3"/>
    <w:multiLevelType w:val="hybridMultilevel"/>
    <w:tmpl w:val="A834622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C45"/>
    <w:rsid w:val="00025EF9"/>
    <w:rsid w:val="00051873"/>
    <w:rsid w:val="00054279"/>
    <w:rsid w:val="0005450E"/>
    <w:rsid w:val="000602BC"/>
    <w:rsid w:val="00064B67"/>
    <w:rsid w:val="000675B6"/>
    <w:rsid w:val="000719B6"/>
    <w:rsid w:val="00084FC8"/>
    <w:rsid w:val="000D258D"/>
    <w:rsid w:val="000E7AA5"/>
    <w:rsid w:val="000F50BF"/>
    <w:rsid w:val="00117CAD"/>
    <w:rsid w:val="001356DD"/>
    <w:rsid w:val="00153BEA"/>
    <w:rsid w:val="00162CB0"/>
    <w:rsid w:val="00171B55"/>
    <w:rsid w:val="001A0A1F"/>
    <w:rsid w:val="001A77D7"/>
    <w:rsid w:val="001B0C4F"/>
    <w:rsid w:val="001D0B87"/>
    <w:rsid w:val="001E26BC"/>
    <w:rsid w:val="001F481D"/>
    <w:rsid w:val="00207FAE"/>
    <w:rsid w:val="00251327"/>
    <w:rsid w:val="00256F68"/>
    <w:rsid w:val="00270FAC"/>
    <w:rsid w:val="00281DF9"/>
    <w:rsid w:val="00296EF9"/>
    <w:rsid w:val="002A2FFE"/>
    <w:rsid w:val="002C7E05"/>
    <w:rsid w:val="002D1A19"/>
    <w:rsid w:val="002E0660"/>
    <w:rsid w:val="00301C45"/>
    <w:rsid w:val="00324825"/>
    <w:rsid w:val="00343428"/>
    <w:rsid w:val="003861A3"/>
    <w:rsid w:val="00391D00"/>
    <w:rsid w:val="003A1720"/>
    <w:rsid w:val="003C7EEC"/>
    <w:rsid w:val="0040254D"/>
    <w:rsid w:val="0042686C"/>
    <w:rsid w:val="004279D9"/>
    <w:rsid w:val="00443FD3"/>
    <w:rsid w:val="00471C30"/>
    <w:rsid w:val="004916C0"/>
    <w:rsid w:val="004A5477"/>
    <w:rsid w:val="004A5784"/>
    <w:rsid w:val="004A6947"/>
    <w:rsid w:val="004C3A8F"/>
    <w:rsid w:val="004D1A63"/>
    <w:rsid w:val="004F2D0D"/>
    <w:rsid w:val="004F6D6E"/>
    <w:rsid w:val="00512FB0"/>
    <w:rsid w:val="00546FC8"/>
    <w:rsid w:val="00547B43"/>
    <w:rsid w:val="00554499"/>
    <w:rsid w:val="00566A5E"/>
    <w:rsid w:val="00590253"/>
    <w:rsid w:val="0059768A"/>
    <w:rsid w:val="005A7EE3"/>
    <w:rsid w:val="005E1107"/>
    <w:rsid w:val="005E573D"/>
    <w:rsid w:val="005F4F19"/>
    <w:rsid w:val="00611CBB"/>
    <w:rsid w:val="00630000"/>
    <w:rsid w:val="00643B29"/>
    <w:rsid w:val="00646CBF"/>
    <w:rsid w:val="00685D70"/>
    <w:rsid w:val="006A5DE1"/>
    <w:rsid w:val="006B248D"/>
    <w:rsid w:val="006B59B1"/>
    <w:rsid w:val="006C2C3B"/>
    <w:rsid w:val="0072716A"/>
    <w:rsid w:val="00734B8D"/>
    <w:rsid w:val="00740722"/>
    <w:rsid w:val="00760F1E"/>
    <w:rsid w:val="00765425"/>
    <w:rsid w:val="00767097"/>
    <w:rsid w:val="0077131C"/>
    <w:rsid w:val="00784050"/>
    <w:rsid w:val="007F296E"/>
    <w:rsid w:val="007F3408"/>
    <w:rsid w:val="00837EB2"/>
    <w:rsid w:val="008542F9"/>
    <w:rsid w:val="008734A8"/>
    <w:rsid w:val="008B03B9"/>
    <w:rsid w:val="008C30B5"/>
    <w:rsid w:val="008F42E3"/>
    <w:rsid w:val="00952820"/>
    <w:rsid w:val="00995280"/>
    <w:rsid w:val="009A238F"/>
    <w:rsid w:val="009C0161"/>
    <w:rsid w:val="009D0283"/>
    <w:rsid w:val="00A10BBF"/>
    <w:rsid w:val="00A1768C"/>
    <w:rsid w:val="00A43F95"/>
    <w:rsid w:val="00A50E8A"/>
    <w:rsid w:val="00A602C3"/>
    <w:rsid w:val="00A647F4"/>
    <w:rsid w:val="00A71D05"/>
    <w:rsid w:val="00AB1D1C"/>
    <w:rsid w:val="00AD4504"/>
    <w:rsid w:val="00AF5F80"/>
    <w:rsid w:val="00B34368"/>
    <w:rsid w:val="00B349E1"/>
    <w:rsid w:val="00B4620D"/>
    <w:rsid w:val="00B66493"/>
    <w:rsid w:val="00B70C9F"/>
    <w:rsid w:val="00B8320A"/>
    <w:rsid w:val="00B8621C"/>
    <w:rsid w:val="00BA79C0"/>
    <w:rsid w:val="00BC2E4E"/>
    <w:rsid w:val="00BD47A5"/>
    <w:rsid w:val="00BE01A6"/>
    <w:rsid w:val="00BE3C35"/>
    <w:rsid w:val="00C12FBB"/>
    <w:rsid w:val="00C37844"/>
    <w:rsid w:val="00C80B37"/>
    <w:rsid w:val="00C82FDF"/>
    <w:rsid w:val="00CA1BE3"/>
    <w:rsid w:val="00CB0798"/>
    <w:rsid w:val="00CF07F0"/>
    <w:rsid w:val="00CF2ED3"/>
    <w:rsid w:val="00D23948"/>
    <w:rsid w:val="00D32E72"/>
    <w:rsid w:val="00D3470B"/>
    <w:rsid w:val="00D37EFC"/>
    <w:rsid w:val="00D4160E"/>
    <w:rsid w:val="00D8475C"/>
    <w:rsid w:val="00DA0EAB"/>
    <w:rsid w:val="00DB244A"/>
    <w:rsid w:val="00DC0D83"/>
    <w:rsid w:val="00E01800"/>
    <w:rsid w:val="00E16D99"/>
    <w:rsid w:val="00E3750B"/>
    <w:rsid w:val="00E444D8"/>
    <w:rsid w:val="00E576D5"/>
    <w:rsid w:val="00E66719"/>
    <w:rsid w:val="00E73EB8"/>
    <w:rsid w:val="00E81AD2"/>
    <w:rsid w:val="00EF6214"/>
    <w:rsid w:val="00F07182"/>
    <w:rsid w:val="00F12F9D"/>
    <w:rsid w:val="00F34288"/>
    <w:rsid w:val="00F36C39"/>
    <w:rsid w:val="00FC64D0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86C"/>
    <w:rPr>
      <w:color w:val="0000FF" w:themeColor="hyperlink"/>
      <w:u w:val="single"/>
    </w:rPr>
  </w:style>
  <w:style w:type="paragraph" w:customStyle="1" w:styleId="Default">
    <w:name w:val="Default"/>
    <w:rsid w:val="008F42E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D381-CE59-4C93-AA92-DE5929A5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Akhilesh Kumar</cp:lastModifiedBy>
  <cp:revision>4</cp:revision>
  <dcterms:created xsi:type="dcterms:W3CDTF">2018-12-18T09:08:00Z</dcterms:created>
  <dcterms:modified xsi:type="dcterms:W3CDTF">2018-12-18T10:05:00Z</dcterms:modified>
</cp:coreProperties>
</file>