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256" w:rsidRPr="0074322C" w:rsidRDefault="0074322C" w:rsidP="0074322C">
      <w:pPr>
        <w:autoSpaceDE w:val="0"/>
        <w:autoSpaceDN w:val="0"/>
        <w:adjustRightInd w:val="0"/>
        <w:spacing w:after="0" w:line="480" w:lineRule="auto"/>
        <w:ind w:firstLine="720"/>
        <w:jc w:val="center"/>
        <w:rPr>
          <w:rFonts w:ascii="Times New Roman" w:eastAsia="Times New Roman" w:hAnsi="Times New Roman" w:cs="Times New Roman"/>
          <w:b/>
          <w:sz w:val="24"/>
          <w:szCs w:val="24"/>
        </w:rPr>
      </w:pPr>
      <w:r w:rsidRPr="0074322C">
        <w:rPr>
          <w:rFonts w:ascii="Times New Roman" w:eastAsia="Times New Roman" w:hAnsi="Times New Roman" w:cs="Times New Roman"/>
          <w:b/>
          <w:sz w:val="24"/>
          <w:szCs w:val="24"/>
        </w:rPr>
        <w:t>STANDARDIZATION OF OPTIMUM CONDITIONS FOR HYDRLOLYSES OF GOAT MILK WHEY PROTEIN WITH TRYPSIN ENZYME</w:t>
      </w:r>
    </w:p>
    <w:p w:rsidR="006C4256" w:rsidRPr="0074322C" w:rsidRDefault="0074322C" w:rsidP="0074322C">
      <w:pPr>
        <w:autoSpaceDE w:val="0"/>
        <w:autoSpaceDN w:val="0"/>
        <w:adjustRightInd w:val="0"/>
        <w:spacing w:after="0" w:line="480" w:lineRule="auto"/>
        <w:ind w:firstLine="720"/>
        <w:jc w:val="center"/>
        <w:rPr>
          <w:rFonts w:ascii="Times New Roman" w:eastAsia="Times New Roman" w:hAnsi="Times New Roman" w:cs="Times New Roman"/>
          <w:sz w:val="24"/>
          <w:szCs w:val="24"/>
        </w:rPr>
      </w:pPr>
      <w:r w:rsidRPr="0074322C">
        <w:rPr>
          <w:rFonts w:ascii="Times New Roman" w:eastAsia="Times New Roman" w:hAnsi="Times New Roman" w:cs="Times New Roman"/>
          <w:sz w:val="24"/>
          <w:szCs w:val="24"/>
        </w:rPr>
        <w:t>APOORVA ARGADE AND S.S. AHLAWAT</w:t>
      </w:r>
      <w:r>
        <w:rPr>
          <w:rFonts w:ascii="Times New Roman" w:eastAsia="Times New Roman" w:hAnsi="Times New Roman" w:cs="Times New Roman"/>
          <w:sz w:val="24"/>
          <w:szCs w:val="24"/>
        </w:rPr>
        <w:t>*</w:t>
      </w:r>
    </w:p>
    <w:p w:rsidR="0074322C" w:rsidRDefault="0074322C" w:rsidP="007432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Department of Livestock Products Technology</w:t>
      </w:r>
    </w:p>
    <w:p w:rsidR="0074322C" w:rsidRDefault="0074322C" w:rsidP="0074322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College of Veterinary Science, Lala Lajpat Rai University of Veterinary and Animal Sciences, Hisar-125004, INDIA</w:t>
      </w:r>
    </w:p>
    <w:p w:rsidR="0074322C" w:rsidRDefault="0074322C" w:rsidP="0074322C">
      <w:pPr>
        <w:spacing w:after="0" w:line="480" w:lineRule="auto"/>
        <w:rPr>
          <w:rFonts w:ascii="Times New Roman" w:hAnsi="Times New Roman" w:cs="Times New Roman"/>
          <w:i/>
          <w:sz w:val="24"/>
          <w:szCs w:val="24"/>
        </w:rPr>
      </w:pPr>
      <w:r>
        <w:rPr>
          <w:rFonts w:ascii="Times New Roman" w:hAnsi="Times New Roman" w:cs="Times New Roman"/>
          <w:i/>
          <w:sz w:val="24"/>
          <w:szCs w:val="24"/>
        </w:rPr>
        <w:t>*Corresponding author,</w:t>
      </w:r>
      <w:r>
        <w:rPr>
          <w:rFonts w:ascii="Times New Roman" w:hAnsi="Times New Roman" w:cs="Times New Roman"/>
          <w:b/>
          <w:i/>
          <w:sz w:val="24"/>
          <w:szCs w:val="24"/>
        </w:rPr>
        <w:tab/>
      </w:r>
      <w:r>
        <w:rPr>
          <w:rFonts w:ascii="Times New Roman" w:hAnsi="Times New Roman" w:cs="Times New Roman"/>
          <w:i/>
          <w:sz w:val="24"/>
          <w:szCs w:val="24"/>
        </w:rPr>
        <w:t xml:space="preserve">Email: ahlawatss9@gmail.com </w:t>
      </w: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D87298"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6C4256" w:rsidRDefault="006C4256" w:rsidP="00D87298">
      <w:pPr>
        <w:autoSpaceDE w:val="0"/>
        <w:autoSpaceDN w:val="0"/>
        <w:adjustRightInd w:val="0"/>
        <w:spacing w:after="0" w:line="480" w:lineRule="auto"/>
        <w:jc w:val="center"/>
        <w:rPr>
          <w:rFonts w:ascii="Times New Roman" w:eastAsia="Times New Roman" w:hAnsi="Times New Roman" w:cs="Times New Roman"/>
          <w:b/>
          <w:sz w:val="24"/>
          <w:szCs w:val="24"/>
        </w:rPr>
      </w:pPr>
      <w:r w:rsidRPr="0074322C">
        <w:rPr>
          <w:rFonts w:ascii="Times New Roman" w:eastAsia="Times New Roman" w:hAnsi="Times New Roman" w:cs="Times New Roman"/>
          <w:b/>
          <w:sz w:val="24"/>
          <w:szCs w:val="24"/>
        </w:rPr>
        <w:lastRenderedPageBreak/>
        <w:t>ABSTRACT</w:t>
      </w:r>
    </w:p>
    <w:p w:rsidR="00D87298" w:rsidRPr="0074322C"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B53076" w:rsidRPr="0074322C" w:rsidRDefault="00B37470"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eastAsia="Times New Roman" w:hAnsi="Times New Roman" w:cs="Times New Roman"/>
          <w:sz w:val="24"/>
          <w:szCs w:val="24"/>
        </w:rPr>
        <w:t>Goat milk is as close to perfect food as possible in nature and was known as “the king of milk” in the world</w:t>
      </w:r>
      <w:r w:rsidR="0077013E" w:rsidRPr="0074322C">
        <w:rPr>
          <w:rFonts w:ascii="Times New Roman" w:hAnsi="Times New Roman" w:cs="Times New Roman"/>
          <w:sz w:val="24"/>
          <w:szCs w:val="24"/>
        </w:rPr>
        <w:t xml:space="preserve">, but the development of functional foods from goat milk has been slow compared to </w:t>
      </w:r>
      <w:r w:rsidRPr="0074322C">
        <w:rPr>
          <w:rFonts w:ascii="Times New Roman" w:hAnsi="Times New Roman" w:cs="Times New Roman"/>
          <w:sz w:val="24"/>
          <w:szCs w:val="24"/>
        </w:rPr>
        <w:t>cow and buffalo</w:t>
      </w:r>
      <w:r w:rsidR="0077013E" w:rsidRPr="0074322C">
        <w:rPr>
          <w:rFonts w:ascii="Times New Roman" w:hAnsi="Times New Roman" w:cs="Times New Roman"/>
          <w:sz w:val="24"/>
          <w:szCs w:val="24"/>
        </w:rPr>
        <w:t xml:space="preserve"> milk.</w:t>
      </w:r>
      <w:r w:rsidRPr="0074322C">
        <w:rPr>
          <w:rFonts w:ascii="Times New Roman" w:hAnsi="Times New Roman" w:cs="Times New Roman"/>
          <w:sz w:val="24"/>
          <w:szCs w:val="24"/>
        </w:rPr>
        <w:t xml:space="preserve"> The </w:t>
      </w:r>
      <w:r w:rsidR="005B1A0A" w:rsidRPr="0074322C">
        <w:rPr>
          <w:rFonts w:ascii="Times New Roman" w:hAnsi="Times New Roman" w:cs="Times New Roman"/>
          <w:sz w:val="24"/>
          <w:szCs w:val="24"/>
        </w:rPr>
        <w:t xml:space="preserve">study was </w:t>
      </w:r>
      <w:r w:rsidRPr="0074322C">
        <w:rPr>
          <w:rFonts w:ascii="Times New Roman" w:hAnsi="Times New Roman" w:cs="Times New Roman"/>
          <w:sz w:val="24"/>
          <w:szCs w:val="24"/>
        </w:rPr>
        <w:t>conduct</w:t>
      </w:r>
      <w:r w:rsidR="005B1A0A" w:rsidRPr="0074322C">
        <w:rPr>
          <w:rFonts w:ascii="Times New Roman" w:hAnsi="Times New Roman" w:cs="Times New Roman"/>
          <w:sz w:val="24"/>
          <w:szCs w:val="24"/>
        </w:rPr>
        <w:t>ed</w:t>
      </w:r>
      <w:r w:rsidRPr="0074322C">
        <w:rPr>
          <w:rFonts w:ascii="Times New Roman" w:hAnsi="Times New Roman" w:cs="Times New Roman"/>
          <w:sz w:val="24"/>
          <w:szCs w:val="24"/>
        </w:rPr>
        <w:t xml:space="preserve"> with an objective </w:t>
      </w:r>
      <w:r w:rsidR="005B1A0A" w:rsidRPr="0074322C">
        <w:rPr>
          <w:rFonts w:ascii="Times New Roman" w:hAnsi="Times New Roman" w:cs="Times New Roman"/>
          <w:sz w:val="24"/>
          <w:szCs w:val="24"/>
        </w:rPr>
        <w:t xml:space="preserve">to </w:t>
      </w:r>
      <w:r w:rsidR="00B53076" w:rsidRPr="0074322C">
        <w:rPr>
          <w:rFonts w:ascii="Times New Roman" w:hAnsi="Times New Roman" w:cs="Times New Roman"/>
          <w:sz w:val="24"/>
          <w:szCs w:val="24"/>
        </w:rPr>
        <w:t xml:space="preserve">develop a goat milk </w:t>
      </w:r>
      <w:r w:rsidR="00076CD8" w:rsidRPr="0074322C">
        <w:rPr>
          <w:rFonts w:ascii="Times New Roman" w:hAnsi="Times New Roman" w:cs="Times New Roman"/>
          <w:sz w:val="24"/>
          <w:szCs w:val="24"/>
        </w:rPr>
        <w:t xml:space="preserve">whey </w:t>
      </w:r>
      <w:r w:rsidR="00B53076" w:rsidRPr="0074322C">
        <w:rPr>
          <w:rFonts w:ascii="Times New Roman" w:hAnsi="Times New Roman" w:cs="Times New Roman"/>
          <w:sz w:val="24"/>
          <w:szCs w:val="24"/>
        </w:rPr>
        <w:t>protein hydrolysate (GM</w:t>
      </w:r>
      <w:r w:rsidR="00076CD8" w:rsidRPr="0074322C">
        <w:rPr>
          <w:rFonts w:ascii="Times New Roman" w:hAnsi="Times New Roman" w:cs="Times New Roman"/>
          <w:sz w:val="24"/>
          <w:szCs w:val="24"/>
        </w:rPr>
        <w:t>W</w:t>
      </w:r>
      <w:r w:rsidR="00B53076" w:rsidRPr="0074322C">
        <w:rPr>
          <w:rFonts w:ascii="Times New Roman" w:hAnsi="Times New Roman" w:cs="Times New Roman"/>
          <w:sz w:val="24"/>
          <w:szCs w:val="24"/>
        </w:rPr>
        <w:t xml:space="preserve">PH) with enhanced </w:t>
      </w:r>
      <w:r w:rsidR="0075070A" w:rsidRPr="0074322C">
        <w:rPr>
          <w:rFonts w:ascii="Times New Roman" w:hAnsi="Times New Roman" w:cs="Times New Roman"/>
          <w:sz w:val="24"/>
          <w:szCs w:val="24"/>
        </w:rPr>
        <w:t>antioxidant property</w:t>
      </w:r>
      <w:r w:rsidR="00B53076" w:rsidRPr="0074322C">
        <w:rPr>
          <w:rFonts w:ascii="Times New Roman" w:hAnsi="Times New Roman" w:cs="Times New Roman"/>
          <w:sz w:val="24"/>
          <w:szCs w:val="24"/>
        </w:rPr>
        <w:t xml:space="preserve"> and better </w:t>
      </w:r>
      <w:r w:rsidR="0075070A" w:rsidRPr="0074322C">
        <w:rPr>
          <w:rFonts w:ascii="Times New Roman" w:hAnsi="Times New Roman" w:cs="Times New Roman"/>
          <w:sz w:val="24"/>
          <w:szCs w:val="24"/>
        </w:rPr>
        <w:t>Ca</w:t>
      </w:r>
      <w:r w:rsidR="0075070A" w:rsidRPr="0074322C">
        <w:rPr>
          <w:rFonts w:ascii="Times New Roman" w:hAnsi="Times New Roman" w:cs="Times New Roman"/>
          <w:sz w:val="24"/>
          <w:szCs w:val="24"/>
          <w:vertAlign w:val="superscript"/>
        </w:rPr>
        <w:t>+</w:t>
      </w:r>
      <w:r w:rsidR="0075070A" w:rsidRPr="0074322C">
        <w:rPr>
          <w:rFonts w:ascii="Times New Roman" w:hAnsi="Times New Roman" w:cs="Times New Roman"/>
          <w:sz w:val="24"/>
          <w:szCs w:val="24"/>
        </w:rPr>
        <w:t xml:space="preserve"> chelating activity</w:t>
      </w:r>
      <w:r w:rsidR="00B46507" w:rsidRPr="0074322C">
        <w:rPr>
          <w:rFonts w:ascii="Times New Roman" w:hAnsi="Times New Roman" w:cs="Times New Roman"/>
          <w:sz w:val="24"/>
          <w:szCs w:val="24"/>
        </w:rPr>
        <w:t>.</w:t>
      </w:r>
      <w:r w:rsidR="00B53076" w:rsidRPr="0074322C">
        <w:rPr>
          <w:rFonts w:ascii="Times New Roman" w:hAnsi="Times New Roman" w:cs="Times New Roman"/>
          <w:sz w:val="24"/>
          <w:szCs w:val="24"/>
        </w:rPr>
        <w:t xml:space="preserve"> Goat milk </w:t>
      </w:r>
      <w:r w:rsidR="001F5CE6" w:rsidRPr="0074322C">
        <w:rPr>
          <w:rFonts w:ascii="Times New Roman" w:hAnsi="Times New Roman" w:cs="Times New Roman"/>
          <w:sz w:val="24"/>
          <w:szCs w:val="24"/>
        </w:rPr>
        <w:t xml:space="preserve">whey </w:t>
      </w:r>
      <w:r w:rsidR="00B53076" w:rsidRPr="0074322C">
        <w:rPr>
          <w:rFonts w:ascii="Times New Roman" w:hAnsi="Times New Roman" w:cs="Times New Roman"/>
          <w:sz w:val="24"/>
          <w:szCs w:val="24"/>
        </w:rPr>
        <w:t xml:space="preserve">protein was digested with </w:t>
      </w:r>
      <w:r w:rsidR="00D759C5" w:rsidRPr="0074322C">
        <w:rPr>
          <w:rFonts w:ascii="Times New Roman" w:hAnsi="Times New Roman" w:cs="Times New Roman"/>
          <w:sz w:val="24"/>
          <w:szCs w:val="24"/>
        </w:rPr>
        <w:t xml:space="preserve">commercial food-grade </w:t>
      </w:r>
      <w:r w:rsidR="00B46507" w:rsidRPr="0074322C">
        <w:rPr>
          <w:rFonts w:ascii="Times New Roman" w:hAnsi="Times New Roman" w:cs="Times New Roman"/>
          <w:sz w:val="24"/>
          <w:szCs w:val="24"/>
        </w:rPr>
        <w:t>Trypsin enzyme</w:t>
      </w:r>
      <w:r w:rsidR="00B53076" w:rsidRPr="0074322C">
        <w:rPr>
          <w:rFonts w:ascii="Times New Roman" w:hAnsi="Times New Roman" w:cs="Times New Roman"/>
          <w:sz w:val="24"/>
          <w:szCs w:val="24"/>
        </w:rPr>
        <w:t xml:space="preserve"> under various conditions </w:t>
      </w:r>
      <w:r w:rsidR="000B72D3" w:rsidRPr="0074322C">
        <w:rPr>
          <w:rFonts w:ascii="Times New Roman" w:hAnsi="Times New Roman" w:cs="Times New Roman"/>
          <w:sz w:val="24"/>
          <w:szCs w:val="24"/>
        </w:rPr>
        <w:t xml:space="preserve">of incubation temperature (30 to 70 </w:t>
      </w:r>
      <w:r w:rsidR="000B72D3" w:rsidRPr="0074322C">
        <w:rPr>
          <w:rFonts w:ascii="Times New Roman" w:hAnsi="Times New Roman" w:cs="Times New Roman"/>
          <w:sz w:val="24"/>
          <w:szCs w:val="24"/>
          <w:vertAlign w:val="superscript"/>
        </w:rPr>
        <w:t>0</w:t>
      </w:r>
      <w:r w:rsidR="000B72D3" w:rsidRPr="0074322C">
        <w:rPr>
          <w:rFonts w:ascii="Times New Roman" w:hAnsi="Times New Roman" w:cs="Times New Roman"/>
          <w:sz w:val="24"/>
          <w:szCs w:val="24"/>
        </w:rPr>
        <w:t xml:space="preserve">C), </w:t>
      </w:r>
      <w:r w:rsidR="00D20D39" w:rsidRPr="0074322C">
        <w:rPr>
          <w:rFonts w:ascii="Times New Roman" w:hAnsi="Times New Roman" w:cs="Times New Roman"/>
          <w:sz w:val="24"/>
          <w:szCs w:val="24"/>
        </w:rPr>
        <w:t xml:space="preserve">incubation time (30 to 300 min), enzyme concentration level (0.25 to 2%) and pH (6 to 10) of the enzyme reaction </w:t>
      </w:r>
      <w:r w:rsidR="00B53076" w:rsidRPr="0074322C">
        <w:rPr>
          <w:rFonts w:ascii="Times New Roman" w:hAnsi="Times New Roman" w:cs="Times New Roman"/>
          <w:sz w:val="24"/>
          <w:szCs w:val="24"/>
        </w:rPr>
        <w:t>to achieve the best hydrolysis</w:t>
      </w:r>
      <w:r w:rsidR="001F5CE6" w:rsidRPr="0074322C">
        <w:rPr>
          <w:rFonts w:ascii="Times New Roman" w:hAnsi="Times New Roman" w:cs="Times New Roman"/>
          <w:sz w:val="24"/>
          <w:szCs w:val="24"/>
        </w:rPr>
        <w:t>.</w:t>
      </w:r>
      <w:r w:rsidR="00B53076" w:rsidRPr="0074322C">
        <w:rPr>
          <w:rFonts w:ascii="Times New Roman" w:hAnsi="Times New Roman" w:cs="Times New Roman"/>
          <w:sz w:val="24"/>
          <w:szCs w:val="24"/>
        </w:rPr>
        <w:t xml:space="preserve"> </w:t>
      </w:r>
      <w:r w:rsidR="00B46507" w:rsidRPr="0074322C">
        <w:rPr>
          <w:rFonts w:ascii="Times New Roman" w:hAnsi="Times New Roman" w:cs="Times New Roman"/>
          <w:sz w:val="24"/>
          <w:szCs w:val="24"/>
        </w:rPr>
        <w:t xml:space="preserve">The hydrolysates were </w:t>
      </w:r>
      <w:r w:rsidR="00896DA3" w:rsidRPr="0074322C">
        <w:rPr>
          <w:rFonts w:ascii="Times New Roman" w:hAnsi="Times New Roman" w:cs="Times New Roman"/>
          <w:sz w:val="24"/>
          <w:szCs w:val="24"/>
        </w:rPr>
        <w:t>analyzed</w:t>
      </w:r>
      <w:r w:rsidR="00B46507" w:rsidRPr="0074322C">
        <w:rPr>
          <w:rFonts w:ascii="Times New Roman" w:hAnsi="Times New Roman" w:cs="Times New Roman"/>
          <w:sz w:val="24"/>
          <w:szCs w:val="24"/>
        </w:rPr>
        <w:t xml:space="preserve"> for degree of hydrolysis (DH)</w:t>
      </w:r>
      <w:r w:rsidR="00D20D39" w:rsidRPr="0074322C">
        <w:rPr>
          <w:rFonts w:ascii="Times New Roman" w:hAnsi="Times New Roman" w:cs="Times New Roman"/>
          <w:sz w:val="24"/>
          <w:szCs w:val="24"/>
        </w:rPr>
        <w:t>, antioxidant activity</w:t>
      </w:r>
      <w:r w:rsidR="00B46507" w:rsidRPr="0074322C">
        <w:rPr>
          <w:rFonts w:ascii="Times New Roman" w:hAnsi="Times New Roman" w:cs="Times New Roman"/>
          <w:sz w:val="24"/>
          <w:szCs w:val="24"/>
        </w:rPr>
        <w:t xml:space="preserve"> (DPPH) and </w:t>
      </w:r>
      <w:r w:rsidR="00D20D39" w:rsidRPr="0074322C">
        <w:rPr>
          <w:rFonts w:ascii="Times New Roman" w:hAnsi="Times New Roman" w:cs="Times New Roman"/>
          <w:sz w:val="24"/>
          <w:szCs w:val="24"/>
        </w:rPr>
        <w:t>calcium chelating</w:t>
      </w:r>
      <w:r w:rsidR="00896DA3" w:rsidRPr="0074322C">
        <w:rPr>
          <w:rFonts w:ascii="Times New Roman" w:hAnsi="Times New Roman" w:cs="Times New Roman"/>
          <w:sz w:val="24"/>
          <w:szCs w:val="24"/>
        </w:rPr>
        <w:t xml:space="preserve"> capacity</w:t>
      </w:r>
      <w:r w:rsidR="000B051A" w:rsidRPr="0074322C">
        <w:rPr>
          <w:rFonts w:ascii="Times New Roman" w:hAnsi="Times New Roman" w:cs="Times New Roman"/>
          <w:sz w:val="24"/>
          <w:szCs w:val="24"/>
        </w:rPr>
        <w:t>.</w:t>
      </w:r>
      <w:r w:rsidR="00896DA3" w:rsidRPr="0074322C">
        <w:rPr>
          <w:rFonts w:ascii="Times New Roman" w:hAnsi="Times New Roman" w:cs="Times New Roman"/>
          <w:sz w:val="24"/>
          <w:szCs w:val="24"/>
        </w:rPr>
        <w:t xml:space="preserve"> </w:t>
      </w:r>
      <w:r w:rsidR="00B53076" w:rsidRPr="0074322C">
        <w:rPr>
          <w:rFonts w:ascii="Times New Roman" w:hAnsi="Times New Roman" w:cs="Times New Roman"/>
          <w:sz w:val="24"/>
          <w:szCs w:val="24"/>
        </w:rPr>
        <w:t xml:space="preserve">It was </w:t>
      </w:r>
      <w:r w:rsidR="001F5CE6" w:rsidRPr="0074322C">
        <w:rPr>
          <w:rFonts w:ascii="Times New Roman" w:hAnsi="Times New Roman" w:cs="Times New Roman"/>
          <w:sz w:val="24"/>
          <w:szCs w:val="24"/>
        </w:rPr>
        <w:t>found</w:t>
      </w:r>
      <w:r w:rsidR="00B53076" w:rsidRPr="0074322C">
        <w:rPr>
          <w:rFonts w:ascii="Times New Roman" w:hAnsi="Times New Roman" w:cs="Times New Roman"/>
          <w:sz w:val="24"/>
          <w:szCs w:val="24"/>
        </w:rPr>
        <w:t xml:space="preserve"> that treatment with </w:t>
      </w:r>
      <w:r w:rsidR="00896DA3" w:rsidRPr="0074322C">
        <w:rPr>
          <w:rFonts w:ascii="Times New Roman" w:hAnsi="Times New Roman" w:cs="Times New Roman"/>
          <w:sz w:val="24"/>
          <w:szCs w:val="24"/>
        </w:rPr>
        <w:t>trypsin</w:t>
      </w:r>
      <w:r w:rsidR="00B53076" w:rsidRPr="0074322C">
        <w:rPr>
          <w:rFonts w:ascii="Times New Roman" w:hAnsi="Times New Roman" w:cs="Times New Roman"/>
          <w:sz w:val="24"/>
          <w:szCs w:val="24"/>
        </w:rPr>
        <w:t xml:space="preserve"> </w:t>
      </w:r>
      <w:r w:rsidR="0069154D" w:rsidRPr="0074322C">
        <w:rPr>
          <w:rFonts w:ascii="Times New Roman" w:hAnsi="Times New Roman" w:cs="Times New Roman"/>
          <w:sz w:val="24"/>
          <w:szCs w:val="24"/>
        </w:rPr>
        <w:t xml:space="preserve">at </w:t>
      </w:r>
      <w:r w:rsidR="00C973D0" w:rsidRPr="0074322C">
        <w:rPr>
          <w:rFonts w:ascii="Times New Roman" w:hAnsi="Times New Roman" w:cs="Times New Roman"/>
          <w:sz w:val="24"/>
          <w:szCs w:val="24"/>
        </w:rPr>
        <w:t>4</w:t>
      </w:r>
      <w:r w:rsidR="00B53076" w:rsidRPr="0074322C">
        <w:rPr>
          <w:rFonts w:ascii="Times New Roman" w:hAnsi="Times New Roman" w:cs="Times New Roman"/>
          <w:sz w:val="24"/>
          <w:szCs w:val="24"/>
        </w:rPr>
        <w:t>0</w:t>
      </w:r>
      <w:r w:rsidR="0069154D" w:rsidRPr="0074322C">
        <w:rPr>
          <w:rFonts w:ascii="Times New Roman" w:hAnsi="Times New Roman" w:cs="Times New Roman"/>
          <w:sz w:val="24"/>
          <w:szCs w:val="24"/>
        </w:rPr>
        <w:t xml:space="preserve"> </w:t>
      </w:r>
      <w:r w:rsidR="00B75F1B" w:rsidRPr="0074322C">
        <w:rPr>
          <w:rFonts w:ascii="Times New Roman" w:hAnsi="Times New Roman" w:cs="Times New Roman"/>
          <w:sz w:val="24"/>
          <w:szCs w:val="24"/>
          <w:vertAlign w:val="superscript"/>
        </w:rPr>
        <w:t>0</w:t>
      </w:r>
      <w:r w:rsidR="00B53076" w:rsidRPr="0074322C">
        <w:rPr>
          <w:rFonts w:ascii="Times New Roman" w:hAnsi="Times New Roman" w:cs="Times New Roman"/>
          <w:sz w:val="24"/>
          <w:szCs w:val="24"/>
        </w:rPr>
        <w:t>C</w:t>
      </w:r>
      <w:r w:rsidR="0069154D" w:rsidRPr="0074322C">
        <w:rPr>
          <w:rFonts w:ascii="Times New Roman" w:hAnsi="Times New Roman" w:cs="Times New Roman"/>
          <w:sz w:val="24"/>
          <w:szCs w:val="24"/>
        </w:rPr>
        <w:t xml:space="preserve"> incubation temperature, </w:t>
      </w:r>
      <w:r w:rsidR="003E7BA1">
        <w:rPr>
          <w:rFonts w:ascii="Times New Roman" w:hAnsi="Times New Roman" w:cs="Times New Roman"/>
          <w:sz w:val="24"/>
          <w:szCs w:val="24"/>
        </w:rPr>
        <w:t>180</w:t>
      </w:r>
      <w:r w:rsidR="00B53076" w:rsidRPr="0074322C">
        <w:rPr>
          <w:rFonts w:ascii="Times New Roman" w:hAnsi="Times New Roman" w:cs="Times New Roman"/>
          <w:sz w:val="24"/>
          <w:szCs w:val="24"/>
        </w:rPr>
        <w:t xml:space="preserve"> min</w:t>
      </w:r>
      <w:r w:rsidR="0069154D" w:rsidRPr="0074322C">
        <w:rPr>
          <w:rFonts w:ascii="Times New Roman" w:hAnsi="Times New Roman" w:cs="Times New Roman"/>
          <w:sz w:val="24"/>
          <w:szCs w:val="24"/>
        </w:rPr>
        <w:t xml:space="preserve"> incubation time, 1.</w:t>
      </w:r>
      <w:r w:rsidR="000F1346" w:rsidRPr="0074322C">
        <w:rPr>
          <w:rFonts w:ascii="Times New Roman" w:hAnsi="Times New Roman" w:cs="Times New Roman"/>
          <w:sz w:val="24"/>
          <w:szCs w:val="24"/>
        </w:rPr>
        <w:t xml:space="preserve">0% enzyme concentration and 8.0 </w:t>
      </w:r>
      <w:r w:rsidR="0069154D" w:rsidRPr="0074322C">
        <w:rPr>
          <w:rFonts w:ascii="Times New Roman" w:hAnsi="Times New Roman" w:cs="Times New Roman"/>
          <w:sz w:val="24"/>
          <w:szCs w:val="24"/>
        </w:rPr>
        <w:t>pH</w:t>
      </w:r>
      <w:r w:rsidR="00B53076" w:rsidRPr="0074322C">
        <w:rPr>
          <w:rFonts w:ascii="Times New Roman" w:hAnsi="Times New Roman" w:cs="Times New Roman"/>
          <w:sz w:val="24"/>
          <w:szCs w:val="24"/>
        </w:rPr>
        <w:t xml:space="preserve"> effectively degraded the </w:t>
      </w:r>
      <w:r w:rsidR="0069154D" w:rsidRPr="0074322C">
        <w:rPr>
          <w:rFonts w:ascii="Times New Roman" w:hAnsi="Times New Roman" w:cs="Times New Roman"/>
          <w:sz w:val="24"/>
          <w:szCs w:val="24"/>
        </w:rPr>
        <w:t>goat milk whey</w:t>
      </w:r>
      <w:r w:rsidR="00B53076" w:rsidRPr="0074322C">
        <w:rPr>
          <w:rFonts w:ascii="Times New Roman" w:hAnsi="Times New Roman" w:cs="Times New Roman"/>
          <w:sz w:val="24"/>
          <w:szCs w:val="24"/>
        </w:rPr>
        <w:t xml:space="preserve"> prot</w:t>
      </w:r>
      <w:r w:rsidR="001F5CE6" w:rsidRPr="0074322C">
        <w:rPr>
          <w:rFonts w:ascii="Times New Roman" w:hAnsi="Times New Roman" w:cs="Times New Roman"/>
          <w:sz w:val="24"/>
          <w:szCs w:val="24"/>
        </w:rPr>
        <w:t>eins, as determined by SDS-PAGE and</w:t>
      </w:r>
      <w:r w:rsidR="00B53076" w:rsidRPr="0074322C">
        <w:rPr>
          <w:rFonts w:ascii="Times New Roman" w:hAnsi="Times New Roman" w:cs="Times New Roman"/>
          <w:sz w:val="24"/>
          <w:szCs w:val="24"/>
        </w:rPr>
        <w:t xml:space="preserve"> measurement of nonprotein nit</w:t>
      </w:r>
      <w:r w:rsidR="001F5CE6" w:rsidRPr="0074322C">
        <w:rPr>
          <w:rFonts w:ascii="Times New Roman" w:hAnsi="Times New Roman" w:cs="Times New Roman"/>
          <w:sz w:val="24"/>
          <w:szCs w:val="24"/>
        </w:rPr>
        <w:t>rogen content.</w:t>
      </w:r>
      <w:r w:rsidR="00B53076" w:rsidRPr="0074322C">
        <w:rPr>
          <w:rFonts w:ascii="Times New Roman" w:hAnsi="Times New Roman" w:cs="Times New Roman"/>
          <w:sz w:val="24"/>
          <w:szCs w:val="24"/>
        </w:rPr>
        <w:t xml:space="preserve"> Hydrolysis with </w:t>
      </w:r>
      <w:r w:rsidR="005534D6" w:rsidRPr="0074322C">
        <w:rPr>
          <w:rFonts w:ascii="Times New Roman" w:hAnsi="Times New Roman" w:cs="Times New Roman"/>
          <w:sz w:val="24"/>
          <w:szCs w:val="24"/>
        </w:rPr>
        <w:t xml:space="preserve">trypsin </w:t>
      </w:r>
      <w:r w:rsidR="00B53076" w:rsidRPr="0074322C">
        <w:rPr>
          <w:rFonts w:ascii="Times New Roman" w:hAnsi="Times New Roman" w:cs="Times New Roman"/>
          <w:sz w:val="24"/>
          <w:szCs w:val="24"/>
        </w:rPr>
        <w:t xml:space="preserve">resulted in a significant </w:t>
      </w:r>
      <w:r w:rsidR="005534D6" w:rsidRPr="0074322C">
        <w:rPr>
          <w:rFonts w:ascii="Times New Roman" w:hAnsi="Times New Roman" w:cs="Times New Roman"/>
          <w:sz w:val="24"/>
          <w:szCs w:val="24"/>
        </w:rPr>
        <w:t>increase in antioxidant and Ca</w:t>
      </w:r>
      <w:r w:rsidR="005534D6" w:rsidRPr="0074322C">
        <w:rPr>
          <w:rFonts w:ascii="Times New Roman" w:hAnsi="Times New Roman" w:cs="Times New Roman"/>
          <w:sz w:val="24"/>
          <w:szCs w:val="24"/>
          <w:vertAlign w:val="superscript"/>
        </w:rPr>
        <w:t>+</w:t>
      </w:r>
      <w:r w:rsidR="00D61E8B" w:rsidRPr="0074322C">
        <w:rPr>
          <w:rFonts w:ascii="Times New Roman" w:hAnsi="Times New Roman" w:cs="Times New Roman"/>
          <w:sz w:val="24"/>
          <w:szCs w:val="24"/>
        </w:rPr>
        <w:t xml:space="preserve"> chelation </w:t>
      </w:r>
      <w:r w:rsidR="005534D6" w:rsidRPr="0074322C">
        <w:rPr>
          <w:rFonts w:ascii="Times New Roman" w:hAnsi="Times New Roman" w:cs="Times New Roman"/>
          <w:sz w:val="24"/>
          <w:szCs w:val="24"/>
        </w:rPr>
        <w:t>property</w:t>
      </w:r>
      <w:r w:rsidR="00B53076" w:rsidRPr="0074322C">
        <w:rPr>
          <w:rFonts w:ascii="Times New Roman" w:hAnsi="Times New Roman" w:cs="Times New Roman"/>
          <w:sz w:val="24"/>
          <w:szCs w:val="24"/>
        </w:rPr>
        <w:t>. Hence, the G</w:t>
      </w:r>
      <w:r w:rsidR="00D61E8B" w:rsidRPr="0074322C">
        <w:rPr>
          <w:rFonts w:ascii="Times New Roman" w:hAnsi="Times New Roman" w:cs="Times New Roman"/>
          <w:sz w:val="24"/>
          <w:szCs w:val="24"/>
        </w:rPr>
        <w:t>M</w:t>
      </w:r>
      <w:r w:rsidR="001914A7" w:rsidRPr="0074322C">
        <w:rPr>
          <w:rFonts w:ascii="Times New Roman" w:hAnsi="Times New Roman" w:cs="Times New Roman"/>
          <w:sz w:val="24"/>
          <w:szCs w:val="24"/>
        </w:rPr>
        <w:t>W</w:t>
      </w:r>
      <w:r w:rsidR="00B53076" w:rsidRPr="0074322C">
        <w:rPr>
          <w:rFonts w:ascii="Times New Roman" w:hAnsi="Times New Roman" w:cs="Times New Roman"/>
          <w:sz w:val="24"/>
          <w:szCs w:val="24"/>
        </w:rPr>
        <w:t xml:space="preserve">PH may be useful for development </w:t>
      </w:r>
      <w:r w:rsidR="00D61E8B" w:rsidRPr="0074322C">
        <w:rPr>
          <w:rFonts w:ascii="Times New Roman" w:hAnsi="Times New Roman" w:cs="Times New Roman"/>
          <w:sz w:val="24"/>
          <w:szCs w:val="24"/>
        </w:rPr>
        <w:t>of novel foods for infants</w:t>
      </w:r>
      <w:r w:rsidR="0000670A" w:rsidRPr="0074322C">
        <w:rPr>
          <w:rFonts w:ascii="Times New Roman" w:hAnsi="Times New Roman" w:cs="Times New Roman"/>
          <w:sz w:val="24"/>
          <w:szCs w:val="24"/>
        </w:rPr>
        <w:t>,</w:t>
      </w:r>
      <w:r w:rsidR="00B53076" w:rsidRPr="0074322C">
        <w:rPr>
          <w:rFonts w:ascii="Times New Roman" w:hAnsi="Times New Roman" w:cs="Times New Roman"/>
          <w:sz w:val="24"/>
          <w:szCs w:val="24"/>
        </w:rPr>
        <w:t xml:space="preserve"> </w:t>
      </w:r>
      <w:r w:rsidR="00D61E8B" w:rsidRPr="0074322C">
        <w:rPr>
          <w:rFonts w:ascii="Times New Roman" w:hAnsi="Times New Roman" w:cs="Times New Roman"/>
          <w:sz w:val="24"/>
          <w:szCs w:val="24"/>
        </w:rPr>
        <w:t xml:space="preserve">and </w:t>
      </w:r>
      <w:r w:rsidR="00B53076" w:rsidRPr="0074322C">
        <w:rPr>
          <w:rFonts w:ascii="Times New Roman" w:hAnsi="Times New Roman" w:cs="Times New Roman"/>
          <w:sz w:val="24"/>
          <w:szCs w:val="24"/>
        </w:rPr>
        <w:t xml:space="preserve">the elderly </w:t>
      </w:r>
      <w:r w:rsidR="0000670A" w:rsidRPr="0074322C">
        <w:rPr>
          <w:rFonts w:ascii="Times New Roman" w:hAnsi="Times New Roman" w:cs="Times New Roman"/>
          <w:sz w:val="24"/>
          <w:szCs w:val="24"/>
        </w:rPr>
        <w:t>osteoporosis patients</w:t>
      </w:r>
      <w:r w:rsidR="00742513" w:rsidRPr="0074322C">
        <w:rPr>
          <w:rFonts w:ascii="Times New Roman" w:hAnsi="Times New Roman" w:cs="Times New Roman"/>
          <w:sz w:val="24"/>
          <w:szCs w:val="24"/>
        </w:rPr>
        <w:t xml:space="preserve"> </w:t>
      </w:r>
      <w:r w:rsidR="00B53076" w:rsidRPr="0074322C">
        <w:rPr>
          <w:rFonts w:ascii="Times New Roman" w:hAnsi="Times New Roman" w:cs="Times New Roman"/>
          <w:sz w:val="24"/>
          <w:szCs w:val="24"/>
        </w:rPr>
        <w:t>to replace cow milk.</w:t>
      </w:r>
    </w:p>
    <w:p w:rsidR="001914A7" w:rsidRPr="0074322C" w:rsidRDefault="00B53076" w:rsidP="0074322C">
      <w:pPr>
        <w:autoSpaceDE w:val="0"/>
        <w:autoSpaceDN w:val="0"/>
        <w:adjustRightInd w:val="0"/>
        <w:spacing w:after="0" w:line="480" w:lineRule="auto"/>
        <w:jc w:val="both"/>
        <w:rPr>
          <w:rFonts w:ascii="Times New Roman" w:eastAsia="Times New Roman" w:hAnsi="Times New Roman" w:cs="Times New Roman"/>
          <w:b/>
          <w:sz w:val="24"/>
          <w:szCs w:val="24"/>
        </w:rPr>
      </w:pPr>
      <w:r w:rsidRPr="0074322C">
        <w:rPr>
          <w:rFonts w:ascii="Times New Roman" w:hAnsi="Times New Roman" w:cs="Times New Roman"/>
          <w:b/>
          <w:sz w:val="24"/>
          <w:szCs w:val="24"/>
        </w:rPr>
        <w:t>Keywords:</w:t>
      </w:r>
      <w:r w:rsidR="00D61E8B" w:rsidRPr="0074322C">
        <w:rPr>
          <w:rFonts w:ascii="Times New Roman" w:hAnsi="Times New Roman" w:cs="Times New Roman"/>
          <w:sz w:val="24"/>
          <w:szCs w:val="24"/>
        </w:rPr>
        <w:t xml:space="preserve"> G</w:t>
      </w:r>
      <w:r w:rsidRPr="0074322C">
        <w:rPr>
          <w:rFonts w:ascii="Times New Roman" w:hAnsi="Times New Roman" w:cs="Times New Roman"/>
          <w:sz w:val="24"/>
          <w:szCs w:val="24"/>
        </w:rPr>
        <w:t xml:space="preserve">oat </w:t>
      </w:r>
      <w:r w:rsidR="00B87F0A" w:rsidRPr="0074322C">
        <w:rPr>
          <w:rFonts w:ascii="Times New Roman" w:hAnsi="Times New Roman" w:cs="Times New Roman"/>
          <w:sz w:val="24"/>
          <w:szCs w:val="24"/>
        </w:rPr>
        <w:t xml:space="preserve">whey protein, </w:t>
      </w:r>
      <w:r w:rsidR="00C81A0C" w:rsidRPr="0074322C">
        <w:rPr>
          <w:rFonts w:ascii="Times New Roman" w:hAnsi="Times New Roman" w:cs="Times New Roman"/>
          <w:color w:val="131413"/>
          <w:sz w:val="24"/>
          <w:szCs w:val="24"/>
        </w:rPr>
        <w:t>Enzymatic hydrolysis,</w:t>
      </w:r>
      <w:r w:rsidR="001914A7" w:rsidRPr="0074322C">
        <w:rPr>
          <w:rFonts w:ascii="Times New Roman" w:hAnsi="Times New Roman" w:cs="Times New Roman"/>
          <w:color w:val="131413"/>
          <w:sz w:val="24"/>
          <w:szCs w:val="24"/>
        </w:rPr>
        <w:t xml:space="preserve"> </w:t>
      </w:r>
      <w:r w:rsidR="00C81A0C" w:rsidRPr="0074322C">
        <w:rPr>
          <w:rFonts w:ascii="Times New Roman" w:hAnsi="Times New Roman" w:cs="Times New Roman"/>
          <w:color w:val="131413"/>
          <w:sz w:val="24"/>
          <w:szCs w:val="24"/>
        </w:rPr>
        <w:t>d</w:t>
      </w:r>
      <w:r w:rsidR="001914A7" w:rsidRPr="0074322C">
        <w:rPr>
          <w:rFonts w:ascii="Times New Roman" w:hAnsi="Times New Roman" w:cs="Times New Roman"/>
          <w:color w:val="131413"/>
          <w:sz w:val="24"/>
          <w:szCs w:val="24"/>
        </w:rPr>
        <w:t>egree of</w:t>
      </w:r>
      <w:r w:rsidR="00C81A0C" w:rsidRPr="0074322C">
        <w:rPr>
          <w:rFonts w:ascii="Times New Roman" w:hAnsi="Times New Roman" w:cs="Times New Roman"/>
          <w:color w:val="131413"/>
          <w:sz w:val="24"/>
          <w:szCs w:val="24"/>
        </w:rPr>
        <w:t xml:space="preserve"> hydrolysis,</w:t>
      </w:r>
      <w:r w:rsidR="001914A7" w:rsidRPr="0074322C">
        <w:rPr>
          <w:rFonts w:ascii="Times New Roman" w:hAnsi="Times New Roman" w:cs="Times New Roman"/>
          <w:color w:val="131413"/>
          <w:sz w:val="24"/>
          <w:szCs w:val="24"/>
        </w:rPr>
        <w:t xml:space="preserve"> </w:t>
      </w:r>
      <w:r w:rsidR="00DC2F6E" w:rsidRPr="0074322C">
        <w:rPr>
          <w:rFonts w:ascii="Times New Roman" w:hAnsi="Times New Roman" w:cs="Times New Roman"/>
          <w:color w:val="131413"/>
          <w:sz w:val="24"/>
          <w:szCs w:val="24"/>
        </w:rPr>
        <w:t>a</w:t>
      </w:r>
      <w:r w:rsidR="001914A7" w:rsidRPr="0074322C">
        <w:rPr>
          <w:rFonts w:ascii="Times New Roman" w:hAnsi="Times New Roman" w:cs="Times New Roman"/>
          <w:color w:val="131413"/>
          <w:sz w:val="24"/>
          <w:szCs w:val="24"/>
        </w:rPr>
        <w:t>ntioxidant</w:t>
      </w:r>
      <w:r w:rsidR="00DC2F6E" w:rsidRPr="0074322C">
        <w:rPr>
          <w:rFonts w:ascii="Times New Roman" w:hAnsi="Times New Roman" w:cs="Times New Roman"/>
          <w:color w:val="131413"/>
          <w:sz w:val="24"/>
          <w:szCs w:val="24"/>
        </w:rPr>
        <w:t>, calcium chelating</w:t>
      </w:r>
      <w:r w:rsidR="001914A7" w:rsidRPr="0074322C">
        <w:rPr>
          <w:rFonts w:ascii="Times New Roman" w:hAnsi="Times New Roman" w:cs="Times New Roman"/>
          <w:color w:val="131413"/>
          <w:sz w:val="24"/>
          <w:szCs w:val="24"/>
        </w:rPr>
        <w:t xml:space="preserve"> activity</w:t>
      </w:r>
      <w:r w:rsidR="00DC2F6E" w:rsidRPr="0074322C">
        <w:rPr>
          <w:rFonts w:ascii="Times New Roman" w:hAnsi="Times New Roman" w:cs="Times New Roman"/>
          <w:color w:val="131413"/>
          <w:sz w:val="24"/>
          <w:szCs w:val="24"/>
        </w:rPr>
        <w:t>.</w:t>
      </w:r>
    </w:p>
    <w:p w:rsidR="006C4256"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r w:rsidRPr="0074322C">
        <w:rPr>
          <w:rFonts w:ascii="Times New Roman" w:eastAsia="Times New Roman" w:hAnsi="Times New Roman" w:cs="Times New Roman"/>
          <w:b/>
          <w:sz w:val="24"/>
          <w:szCs w:val="24"/>
        </w:rPr>
        <w:t>INTRODUCTION</w:t>
      </w:r>
    </w:p>
    <w:p w:rsidR="00D87298" w:rsidRPr="0074322C" w:rsidRDefault="00D87298" w:rsidP="00D87298">
      <w:pPr>
        <w:autoSpaceDE w:val="0"/>
        <w:autoSpaceDN w:val="0"/>
        <w:adjustRightInd w:val="0"/>
        <w:spacing w:after="0" w:line="480" w:lineRule="auto"/>
        <w:jc w:val="center"/>
        <w:rPr>
          <w:rFonts w:ascii="Times New Roman" w:eastAsia="Times New Roman" w:hAnsi="Times New Roman" w:cs="Times New Roman"/>
          <w:b/>
          <w:sz w:val="24"/>
          <w:szCs w:val="24"/>
        </w:rPr>
      </w:pPr>
    </w:p>
    <w:p w:rsidR="000B147E" w:rsidRPr="0074322C" w:rsidRDefault="000B147E" w:rsidP="0074322C">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74322C">
        <w:rPr>
          <w:rFonts w:ascii="Times New Roman" w:eastAsia="Times New Roman" w:hAnsi="Times New Roman" w:cs="Times New Roman"/>
          <w:sz w:val="24"/>
          <w:szCs w:val="24"/>
        </w:rPr>
        <w:t xml:space="preserve">Goat milk is as close to perfect food as possible in nature and was known as “the king of milk” in the world (Agnihotri and Prasad, 1993). Its chemical structure is amazingly similar to </w:t>
      </w:r>
      <w:r w:rsidRPr="0074322C">
        <w:rPr>
          <w:rFonts w:ascii="Times New Roman" w:eastAsia="Times New Roman" w:hAnsi="Times New Roman" w:cs="Times New Roman"/>
          <w:sz w:val="24"/>
          <w:szCs w:val="24"/>
        </w:rPr>
        <w:lastRenderedPageBreak/>
        <w:t xml:space="preserve">mother’s milk (Rafter, 2003). </w:t>
      </w:r>
      <w:r w:rsidRPr="0074322C">
        <w:rPr>
          <w:rFonts w:ascii="Times New Roman" w:eastAsiaTheme="minorHAnsi" w:hAnsi="Times New Roman" w:cs="Times New Roman"/>
          <w:sz w:val="24"/>
          <w:szCs w:val="24"/>
        </w:rPr>
        <w:t>It is reflected by the 9.3 % faster increase in goats population as compared to cattle during the 20</w:t>
      </w:r>
      <w:r w:rsidRPr="0074322C">
        <w:rPr>
          <w:rFonts w:ascii="Times New Roman" w:eastAsiaTheme="minorHAnsi" w:hAnsi="Times New Roman" w:cs="Times New Roman"/>
          <w:sz w:val="24"/>
          <w:szCs w:val="24"/>
          <w:vertAlign w:val="superscript"/>
        </w:rPr>
        <w:t>th</w:t>
      </w:r>
      <w:r w:rsidRPr="0074322C">
        <w:rPr>
          <w:rFonts w:ascii="Times New Roman" w:eastAsiaTheme="minorHAnsi" w:hAnsi="Times New Roman" w:cs="Times New Roman"/>
          <w:sz w:val="24"/>
          <w:szCs w:val="24"/>
        </w:rPr>
        <w:t xml:space="preserve"> Livestock Census of the country (Livestock Census, 2019) and the largest increase in goat milk production (58%) compared to other mammalian farm animals like buffaloes (36%), cattle (14%) and sheep (2%). Milk production of goats is likely to be much greater than in these official statistics, because of the large amounts of unreported home consumption, especially in developing countries (Kalyan </w:t>
      </w:r>
      <w:r w:rsidRPr="0074322C">
        <w:rPr>
          <w:rFonts w:ascii="Times New Roman" w:eastAsiaTheme="minorHAnsi" w:hAnsi="Times New Roman" w:cs="Times New Roman"/>
          <w:i/>
          <w:sz w:val="24"/>
          <w:szCs w:val="24"/>
        </w:rPr>
        <w:t>et al</w:t>
      </w:r>
      <w:r w:rsidRPr="0074322C">
        <w:rPr>
          <w:rFonts w:ascii="Times New Roman" w:eastAsiaTheme="minorHAnsi" w:hAnsi="Times New Roman" w:cs="Times New Roman"/>
          <w:sz w:val="24"/>
          <w:szCs w:val="24"/>
        </w:rPr>
        <w:t>., 2018).</w:t>
      </w:r>
    </w:p>
    <w:p w:rsidR="003D3C3E" w:rsidRPr="0074322C" w:rsidRDefault="004A679D" w:rsidP="0074322C">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74322C">
        <w:rPr>
          <w:rFonts w:ascii="Times New Roman" w:eastAsiaTheme="minorHAnsi" w:hAnsi="Times New Roman" w:cs="Times New Roman"/>
          <w:sz w:val="24"/>
          <w:szCs w:val="24"/>
        </w:rPr>
        <w:t>Milk whey corresponds to the liquid fraction remaining after milk clotting and removal during cheese, paneer and casein manufacturing. It is an abundant by-product of the dairy industry which represents about 80–90% of milk volume and retains approximately 55% of milk nutrients (Smithers, 2008).</w:t>
      </w:r>
      <w:r w:rsidRPr="0074322C">
        <w:rPr>
          <w:rFonts w:ascii="Times New Roman" w:eastAsia="TimesNewRoman" w:hAnsi="Times New Roman" w:cs="Times New Roman"/>
          <w:sz w:val="24"/>
          <w:szCs w:val="24"/>
        </w:rPr>
        <w:t xml:space="preserve"> </w:t>
      </w:r>
      <w:r w:rsidRPr="0074322C">
        <w:rPr>
          <w:rFonts w:ascii="Times New Roman" w:hAnsi="Times New Roman" w:cs="Times New Roman"/>
          <w:sz w:val="24"/>
          <w:szCs w:val="24"/>
        </w:rPr>
        <w:t>World-wide an increasing amount of whey protein is available due to increasing cheese production and the development of ultra-filtration methods to concentrate these proteins has stimulated intensive research on expanding its utilization.</w:t>
      </w:r>
      <w:r w:rsidRPr="0074322C">
        <w:rPr>
          <w:rFonts w:ascii="Times New Roman" w:eastAsiaTheme="minorHAnsi" w:hAnsi="Times New Roman" w:cs="Times New Roman"/>
          <w:sz w:val="24"/>
          <w:szCs w:val="24"/>
        </w:rPr>
        <w:t xml:space="preserve"> </w:t>
      </w:r>
    </w:p>
    <w:p w:rsidR="004A679D" w:rsidRPr="0074322C" w:rsidRDefault="004A679D" w:rsidP="0074322C">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74322C">
        <w:rPr>
          <w:rFonts w:ascii="Times New Roman" w:eastAsia="Times New Roman" w:hAnsi="Times New Roman" w:cs="Times New Roman"/>
          <w:sz w:val="24"/>
          <w:szCs w:val="24"/>
        </w:rPr>
        <w:t xml:space="preserve">The goat milk whey protein peptides are rich in amino acids which are highly digestible and have positive effect on satiety and mood (Beulens </w:t>
      </w:r>
      <w:r w:rsidRPr="0074322C">
        <w:rPr>
          <w:rFonts w:ascii="Times New Roman" w:eastAsia="Times New Roman" w:hAnsi="Times New Roman" w:cs="Times New Roman"/>
          <w:i/>
          <w:sz w:val="24"/>
          <w:szCs w:val="24"/>
        </w:rPr>
        <w:t>et al</w:t>
      </w:r>
      <w:r w:rsidRPr="0074322C">
        <w:rPr>
          <w:rFonts w:ascii="Times New Roman" w:eastAsia="Times New Roman" w:hAnsi="Times New Roman" w:cs="Times New Roman"/>
          <w:sz w:val="24"/>
          <w:szCs w:val="24"/>
        </w:rPr>
        <w:t>., 2004), improve morning alertness and brain-sustained attention processes (Markus, 2005). The second most represented whey fraction in goat (21.4%), bovine (16.2%) and ewe (10.8%) milks is α- Lactalbumin (Law, 1995). The interesting property of α- Lactalbumin</w:t>
      </w:r>
      <w:r w:rsidRPr="0074322C">
        <w:rPr>
          <w:rFonts w:ascii="Times New Roman" w:eastAsia="WarnockPro-Regular" w:hAnsi="Times New Roman" w:cs="Times New Roman"/>
          <w:sz w:val="24"/>
          <w:szCs w:val="24"/>
        </w:rPr>
        <w:t xml:space="preserve"> (</w:t>
      </w:r>
      <w:r w:rsidRPr="0074322C">
        <w:rPr>
          <w:rFonts w:ascii="Times New Roman" w:eastAsia="TimesNewRoman" w:hAnsi="Times New Roman" w:cs="Times New Roman"/>
          <w:sz w:val="24"/>
          <w:szCs w:val="24"/>
        </w:rPr>
        <w:t>α-La) and β-Lactaglobumin (β-Lg) whey</w:t>
      </w:r>
      <w:r w:rsidRPr="0074322C">
        <w:rPr>
          <w:rFonts w:ascii="Times New Roman" w:eastAsiaTheme="minorHAnsi" w:hAnsi="Times New Roman" w:cs="Times New Roman"/>
          <w:sz w:val="24"/>
          <w:szCs w:val="24"/>
        </w:rPr>
        <w:t xml:space="preserve"> protein is their ability to self-assemble on </w:t>
      </w:r>
      <w:r w:rsidRPr="0074322C">
        <w:rPr>
          <w:rFonts w:ascii="Times New Roman" w:eastAsia="TimesNewRoman" w:hAnsi="Times New Roman" w:cs="Times New Roman"/>
          <w:sz w:val="24"/>
          <w:szCs w:val="24"/>
        </w:rPr>
        <w:t xml:space="preserve">partial hydrolysis, which leads to formation of nanotubular structures for α-La and fibrillar aggregates for β-Lg </w:t>
      </w:r>
      <w:r w:rsidRPr="0074322C">
        <w:rPr>
          <w:rFonts w:ascii="Times New Roman" w:eastAsiaTheme="minorHAnsi" w:hAnsi="Times New Roman" w:cs="Times New Roman"/>
          <w:sz w:val="24"/>
          <w:szCs w:val="24"/>
        </w:rPr>
        <w:t xml:space="preserve">in the presence of appropriate cation at neutral pH (Graveland-Bikker and Kruif, 2006). These microstructures promise various applications in food, nanomedicine and nanotechnology. Because of its cavity, α -La nanotubes could well serve as vehicles for drugs, vitamins, enzymes and minerals or other encapsulated molecules. </w:t>
      </w:r>
    </w:p>
    <w:p w:rsidR="004A679D" w:rsidRPr="0074322C" w:rsidRDefault="004A679D"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lastRenderedPageBreak/>
        <w:t xml:space="preserve">Calcium, the most abundant mineral in the human body, has several important functions, such as muscle contraction, hormone secretion, and message transmission through the nervous system. When calcium intake is low or poorly absorbed, bone disorders occur and it may adversely affect bone health in adults (Anderson and Garner, 1996; Balk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2017). Among the mineral-binding peptides derived from the digestion of milk proteins, casein phosphopeptides have been extensively investigated (Yuan and Kitts, 1991; Bouhallab, 2004).  However, studies on the utilization of whey proteins as producing mineral carrier peptides are scarce. </w:t>
      </w:r>
    </w:p>
    <w:p w:rsidR="004A679D" w:rsidRPr="0074322C" w:rsidRDefault="004A679D"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 xml:space="preserve">The identification and development of whey protein-derived peptides with antioxidant properties has also attracted increased attention due to heightened safety concerns over the use of synthetic antioxidants such as BHT to inhibit lipid oxidation and improve shelf life meat products. However, only a few studies on the antioxidant properties of goat’s milk protein-derived peptides have been performed but it seems to have better in vivo antioxidant properties than cows’ milk (Díaz-Castro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2012). </w:t>
      </w:r>
    </w:p>
    <w:p w:rsidR="0078189B" w:rsidRDefault="004A679D" w:rsidP="0074322C">
      <w:pPr>
        <w:autoSpaceDE w:val="0"/>
        <w:autoSpaceDN w:val="0"/>
        <w:adjustRightInd w:val="0"/>
        <w:spacing w:after="0" w:line="480" w:lineRule="auto"/>
        <w:ind w:firstLine="540"/>
        <w:jc w:val="both"/>
        <w:rPr>
          <w:rFonts w:ascii="Times New Roman" w:eastAsiaTheme="minorHAnsi" w:hAnsi="Times New Roman" w:cs="Times New Roman"/>
          <w:sz w:val="24"/>
          <w:szCs w:val="24"/>
        </w:rPr>
      </w:pPr>
      <w:r w:rsidRPr="0074322C">
        <w:rPr>
          <w:rFonts w:ascii="Times New Roman" w:hAnsi="Times New Roman" w:cs="Times New Roman"/>
          <w:sz w:val="24"/>
          <w:szCs w:val="24"/>
        </w:rPr>
        <w:t xml:space="preserve">In the light of above discussion, to prepare </w:t>
      </w:r>
      <w:r w:rsidRPr="0074322C">
        <w:rPr>
          <w:rFonts w:ascii="Times New Roman" w:eastAsiaTheme="minorHAnsi" w:hAnsi="Times New Roman" w:cs="Times New Roman"/>
          <w:sz w:val="24"/>
          <w:szCs w:val="24"/>
        </w:rPr>
        <w:t xml:space="preserve">goat milk whey protein bioactive peptides and their potential applications for calcium encapsulation to develop calcium enriched functional </w:t>
      </w:r>
      <w:r w:rsidR="00664758" w:rsidRPr="0074322C">
        <w:rPr>
          <w:rFonts w:ascii="Times New Roman" w:eastAsiaTheme="minorHAnsi" w:hAnsi="Times New Roman" w:cs="Times New Roman"/>
          <w:sz w:val="24"/>
          <w:szCs w:val="24"/>
        </w:rPr>
        <w:t>foods</w:t>
      </w:r>
      <w:r w:rsidRPr="0074322C">
        <w:rPr>
          <w:rFonts w:ascii="Times New Roman" w:eastAsiaTheme="minorHAnsi" w:hAnsi="Times New Roman" w:cs="Times New Roman"/>
          <w:sz w:val="24"/>
          <w:szCs w:val="24"/>
        </w:rPr>
        <w:t xml:space="preserve">, </w:t>
      </w:r>
      <w:r w:rsidRPr="0074322C">
        <w:rPr>
          <w:rFonts w:ascii="Times New Roman" w:hAnsi="Times New Roman" w:cs="Times New Roman"/>
          <w:sz w:val="24"/>
          <w:szCs w:val="24"/>
        </w:rPr>
        <w:t xml:space="preserve">the present study was designed </w:t>
      </w:r>
      <w:r w:rsidR="00664758" w:rsidRPr="0074322C">
        <w:rPr>
          <w:rFonts w:ascii="Times New Roman" w:hAnsi="Times New Roman" w:cs="Times New Roman"/>
          <w:sz w:val="24"/>
          <w:szCs w:val="24"/>
        </w:rPr>
        <w:t>to p</w:t>
      </w:r>
      <w:r w:rsidRPr="0074322C">
        <w:rPr>
          <w:rFonts w:ascii="Times New Roman" w:eastAsiaTheme="minorHAnsi" w:hAnsi="Times New Roman" w:cs="Times New Roman"/>
          <w:sz w:val="24"/>
          <w:szCs w:val="24"/>
        </w:rPr>
        <w:t>reparation and characterization of bioactive peptides from goat milk whey proteins.</w:t>
      </w:r>
    </w:p>
    <w:p w:rsidR="003B1052" w:rsidRPr="0074322C" w:rsidRDefault="003B1052" w:rsidP="0074322C">
      <w:pPr>
        <w:autoSpaceDE w:val="0"/>
        <w:autoSpaceDN w:val="0"/>
        <w:adjustRightInd w:val="0"/>
        <w:spacing w:after="0" w:line="480" w:lineRule="auto"/>
        <w:ind w:firstLine="540"/>
        <w:jc w:val="both"/>
        <w:rPr>
          <w:rFonts w:ascii="Times New Roman" w:eastAsiaTheme="minorHAnsi" w:hAnsi="Times New Roman" w:cs="Times New Roman"/>
          <w:sz w:val="24"/>
          <w:szCs w:val="24"/>
        </w:rPr>
      </w:pPr>
    </w:p>
    <w:p w:rsidR="006C4256" w:rsidRDefault="003B1052" w:rsidP="003B1052">
      <w:pPr>
        <w:spacing w:line="480" w:lineRule="auto"/>
        <w:jc w:val="center"/>
        <w:rPr>
          <w:rFonts w:ascii="Times New Roman" w:eastAsiaTheme="minorHAnsi" w:hAnsi="Times New Roman" w:cs="Times New Roman"/>
          <w:b/>
          <w:sz w:val="24"/>
          <w:szCs w:val="24"/>
        </w:rPr>
      </w:pPr>
      <w:r w:rsidRPr="0074322C">
        <w:rPr>
          <w:rFonts w:ascii="Times New Roman" w:eastAsiaTheme="minorHAnsi" w:hAnsi="Times New Roman" w:cs="Times New Roman"/>
          <w:b/>
          <w:sz w:val="24"/>
          <w:szCs w:val="24"/>
        </w:rPr>
        <w:t>MATERIAL AND METHODS</w:t>
      </w:r>
    </w:p>
    <w:p w:rsidR="003B1052" w:rsidRPr="0074322C" w:rsidRDefault="003B1052" w:rsidP="003B1052">
      <w:pPr>
        <w:spacing w:line="480" w:lineRule="auto"/>
        <w:jc w:val="center"/>
        <w:rPr>
          <w:rFonts w:ascii="Times New Roman" w:eastAsiaTheme="minorHAnsi" w:hAnsi="Times New Roman" w:cs="Times New Roman"/>
          <w:b/>
          <w:sz w:val="24"/>
          <w:szCs w:val="24"/>
        </w:rPr>
      </w:pPr>
    </w:p>
    <w:p w:rsidR="00A873E5" w:rsidRPr="0074322C" w:rsidRDefault="00F93C09" w:rsidP="0074322C">
      <w:pPr>
        <w:autoSpaceDE w:val="0"/>
        <w:autoSpaceDN w:val="0"/>
        <w:adjustRightInd w:val="0"/>
        <w:spacing w:after="0" w:line="480" w:lineRule="auto"/>
        <w:jc w:val="both"/>
        <w:rPr>
          <w:rFonts w:ascii="Times New Roman" w:hAnsi="Times New Roman" w:cs="Times New Roman"/>
          <w:b/>
          <w:sz w:val="24"/>
          <w:szCs w:val="24"/>
        </w:rPr>
      </w:pPr>
      <w:r w:rsidRPr="0074322C">
        <w:rPr>
          <w:rFonts w:ascii="Times New Roman" w:hAnsi="Times New Roman" w:cs="Times New Roman"/>
          <w:b/>
          <w:sz w:val="24"/>
          <w:szCs w:val="24"/>
        </w:rPr>
        <w:t xml:space="preserve">Enzymatic hydrolysis of goat milk </w:t>
      </w:r>
      <w:r w:rsidR="00553EBB" w:rsidRPr="0074322C">
        <w:rPr>
          <w:rFonts w:ascii="Times New Roman" w:hAnsi="Times New Roman" w:cs="Times New Roman"/>
          <w:b/>
          <w:sz w:val="24"/>
          <w:szCs w:val="24"/>
        </w:rPr>
        <w:t xml:space="preserve">whey </w:t>
      </w:r>
      <w:r w:rsidRPr="0074322C">
        <w:rPr>
          <w:rFonts w:ascii="Times New Roman" w:hAnsi="Times New Roman" w:cs="Times New Roman"/>
          <w:b/>
          <w:sz w:val="24"/>
          <w:szCs w:val="24"/>
        </w:rPr>
        <w:t>proteins</w:t>
      </w:r>
    </w:p>
    <w:p w:rsidR="003B1052" w:rsidRDefault="003B1052" w:rsidP="0074322C">
      <w:pPr>
        <w:autoSpaceDE w:val="0"/>
        <w:autoSpaceDN w:val="0"/>
        <w:adjustRightInd w:val="0"/>
        <w:spacing w:after="0" w:line="480" w:lineRule="auto"/>
        <w:ind w:firstLine="720"/>
        <w:jc w:val="both"/>
        <w:rPr>
          <w:rFonts w:ascii="Times New Roman" w:eastAsia="Times New Roman" w:hAnsi="Times New Roman" w:cs="Times New Roman"/>
          <w:spacing w:val="-4"/>
          <w:sz w:val="24"/>
          <w:szCs w:val="24"/>
        </w:rPr>
      </w:pPr>
    </w:p>
    <w:p w:rsidR="00F93C09" w:rsidRPr="0074322C" w:rsidRDefault="003237C1"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eastAsia="Times New Roman" w:hAnsi="Times New Roman" w:cs="Times New Roman"/>
          <w:spacing w:val="-4"/>
          <w:sz w:val="24"/>
          <w:szCs w:val="24"/>
        </w:rPr>
        <w:lastRenderedPageBreak/>
        <w:t xml:space="preserve">Fresh whole pooled goat milk sample was aseptically collected in triplicate in sterilized sample containers from the Goat Yard, National Dairy Research Institute, Karnal, Haryana. </w:t>
      </w:r>
      <w:r w:rsidR="00FA7A3E" w:rsidRPr="0074322C">
        <w:rPr>
          <w:rFonts w:ascii="Times New Roman" w:eastAsia="Times New Roman" w:hAnsi="Times New Roman" w:cs="Times New Roman"/>
          <w:spacing w:val="-4"/>
          <w:sz w:val="24"/>
          <w:szCs w:val="24"/>
        </w:rPr>
        <w:t>F</w:t>
      </w:r>
      <w:r w:rsidR="00F93C09" w:rsidRPr="0074322C">
        <w:rPr>
          <w:rFonts w:ascii="Times New Roman" w:hAnsi="Times New Roman" w:cs="Times New Roman"/>
          <w:sz w:val="24"/>
          <w:szCs w:val="24"/>
        </w:rPr>
        <w:t xml:space="preserve">ood-grade commercial </w:t>
      </w:r>
      <w:r w:rsidR="00FA7A3E" w:rsidRPr="0074322C">
        <w:rPr>
          <w:rFonts w:ascii="Times New Roman" w:hAnsi="Times New Roman" w:cs="Times New Roman"/>
          <w:sz w:val="24"/>
          <w:szCs w:val="24"/>
        </w:rPr>
        <w:t>protease (</w:t>
      </w:r>
      <w:r w:rsidR="00786708" w:rsidRPr="0074322C">
        <w:rPr>
          <w:rFonts w:ascii="Times New Roman" w:hAnsi="Times New Roman" w:cs="Times New Roman"/>
          <w:sz w:val="24"/>
          <w:szCs w:val="24"/>
        </w:rPr>
        <w:t>trypsin</w:t>
      </w:r>
      <w:r w:rsidR="00FA7A3E" w:rsidRPr="0074322C">
        <w:rPr>
          <w:rFonts w:ascii="Times New Roman" w:hAnsi="Times New Roman" w:cs="Times New Roman"/>
          <w:sz w:val="24"/>
          <w:szCs w:val="24"/>
        </w:rPr>
        <w:t>) was</w:t>
      </w:r>
      <w:r w:rsidR="00F93C09" w:rsidRPr="0074322C">
        <w:rPr>
          <w:rFonts w:ascii="Times New Roman" w:hAnsi="Times New Roman" w:cs="Times New Roman"/>
          <w:sz w:val="24"/>
          <w:szCs w:val="24"/>
        </w:rPr>
        <w:t xml:space="preserve"> purchased from </w:t>
      </w:r>
      <w:r w:rsidR="00FA7A3E" w:rsidRPr="0074322C">
        <w:rPr>
          <w:rFonts w:ascii="Times New Roman" w:hAnsi="Times New Roman" w:cs="Times New Roman"/>
          <w:sz w:val="24"/>
          <w:szCs w:val="24"/>
        </w:rPr>
        <w:t xml:space="preserve">from Sigma–Aldrich </w:t>
      </w:r>
      <w:r w:rsidR="008C48F1" w:rsidRPr="0074322C">
        <w:rPr>
          <w:rFonts w:ascii="Times New Roman" w:hAnsi="Times New Roman" w:cs="Times New Roman"/>
          <w:sz w:val="24"/>
          <w:szCs w:val="24"/>
        </w:rPr>
        <w:t>Chemical Co. USA,</w:t>
      </w:r>
      <w:r w:rsidR="00F93C09" w:rsidRPr="0074322C">
        <w:rPr>
          <w:rFonts w:ascii="Times New Roman" w:hAnsi="Times New Roman" w:cs="Times New Roman"/>
          <w:sz w:val="24"/>
          <w:szCs w:val="24"/>
        </w:rPr>
        <w:t xml:space="preserve"> to hydrolyze </w:t>
      </w:r>
      <w:r w:rsidR="008C48F1" w:rsidRPr="0074322C">
        <w:rPr>
          <w:rFonts w:ascii="Times New Roman" w:eastAsia="TT3Bo00" w:hAnsi="Times New Roman" w:cs="Times New Roman"/>
          <w:sz w:val="24"/>
          <w:szCs w:val="24"/>
        </w:rPr>
        <w:t>goat milk whey protein</w:t>
      </w:r>
      <w:r w:rsidR="00F93C09" w:rsidRPr="0074322C">
        <w:rPr>
          <w:rFonts w:ascii="Times New Roman" w:hAnsi="Times New Roman" w:cs="Times New Roman"/>
          <w:sz w:val="24"/>
          <w:szCs w:val="24"/>
        </w:rPr>
        <w:t>. Incubation temperatu</w:t>
      </w:r>
      <w:r w:rsidR="008C48F1" w:rsidRPr="0074322C">
        <w:rPr>
          <w:rFonts w:ascii="Times New Roman" w:hAnsi="Times New Roman" w:cs="Times New Roman"/>
          <w:sz w:val="24"/>
          <w:szCs w:val="24"/>
        </w:rPr>
        <w:t>re (30-70°C), incubation time (30-30</w:t>
      </w:r>
      <w:r w:rsidR="00F93C09" w:rsidRPr="0074322C">
        <w:rPr>
          <w:rFonts w:ascii="Times New Roman" w:hAnsi="Times New Roman" w:cs="Times New Roman"/>
          <w:sz w:val="24"/>
          <w:szCs w:val="24"/>
        </w:rPr>
        <w:t>0 min), enzyme concentration (0.2</w:t>
      </w:r>
      <w:r w:rsidR="008C48F1" w:rsidRPr="0074322C">
        <w:rPr>
          <w:rFonts w:ascii="Times New Roman" w:hAnsi="Times New Roman" w:cs="Times New Roman"/>
          <w:sz w:val="24"/>
          <w:szCs w:val="24"/>
        </w:rPr>
        <w:t>5</w:t>
      </w:r>
      <w:r w:rsidR="00F93C09" w:rsidRPr="0074322C">
        <w:rPr>
          <w:rFonts w:ascii="Times New Roman" w:hAnsi="Times New Roman" w:cs="Times New Roman"/>
          <w:sz w:val="24"/>
          <w:szCs w:val="24"/>
        </w:rPr>
        <w:t>-</w:t>
      </w:r>
      <w:r w:rsidR="008C48F1" w:rsidRPr="0074322C">
        <w:rPr>
          <w:rFonts w:ascii="Times New Roman" w:hAnsi="Times New Roman" w:cs="Times New Roman"/>
          <w:sz w:val="24"/>
          <w:szCs w:val="24"/>
        </w:rPr>
        <w:t>2</w:t>
      </w:r>
      <w:r w:rsidR="00F93C09" w:rsidRPr="0074322C">
        <w:rPr>
          <w:rFonts w:ascii="Times New Roman" w:hAnsi="Times New Roman" w:cs="Times New Roman"/>
          <w:sz w:val="24"/>
          <w:szCs w:val="24"/>
        </w:rPr>
        <w:t>.0%, w/w)</w:t>
      </w:r>
      <w:r w:rsidR="008C48F1" w:rsidRPr="0074322C">
        <w:rPr>
          <w:rFonts w:ascii="Times New Roman" w:hAnsi="Times New Roman" w:cs="Times New Roman"/>
          <w:sz w:val="24"/>
          <w:szCs w:val="24"/>
        </w:rPr>
        <w:t xml:space="preserve"> and pH </w:t>
      </w:r>
      <w:r w:rsidR="00E117D7" w:rsidRPr="0074322C">
        <w:rPr>
          <w:rFonts w:ascii="Times New Roman" w:hAnsi="Times New Roman" w:cs="Times New Roman"/>
          <w:sz w:val="24"/>
          <w:szCs w:val="24"/>
        </w:rPr>
        <w:t>(6 to 10)</w:t>
      </w:r>
      <w:r w:rsidR="00F93C09" w:rsidRPr="0074322C">
        <w:rPr>
          <w:rFonts w:ascii="Times New Roman" w:hAnsi="Times New Roman" w:cs="Times New Roman"/>
          <w:sz w:val="24"/>
          <w:szCs w:val="24"/>
        </w:rPr>
        <w:t xml:space="preserve"> were varied to determine the optimal conditions for hydrolysis. Upon completion of the enzymatic hydrolysis reactions, the samples were heated at 90°C for 15 min to inactivate the enzymatic activity. They were freeze-dried and analyzed by SDS-PAGE</w:t>
      </w:r>
      <w:r w:rsidR="00E117D7" w:rsidRPr="0074322C">
        <w:rPr>
          <w:rFonts w:ascii="Times New Roman" w:hAnsi="Times New Roman" w:cs="Times New Roman"/>
          <w:sz w:val="24"/>
          <w:szCs w:val="24"/>
        </w:rPr>
        <w:t>.</w:t>
      </w:r>
      <w:r w:rsidR="00F93C09" w:rsidRPr="0074322C">
        <w:rPr>
          <w:rFonts w:ascii="Times New Roman" w:hAnsi="Times New Roman" w:cs="Times New Roman"/>
          <w:sz w:val="24"/>
          <w:szCs w:val="24"/>
        </w:rPr>
        <w:t xml:space="preserve"> </w:t>
      </w:r>
      <w:r w:rsidR="00E117D7" w:rsidRPr="0074322C">
        <w:rPr>
          <w:rFonts w:ascii="Times New Roman" w:hAnsi="Times New Roman" w:cs="Times New Roman"/>
          <w:sz w:val="24"/>
          <w:szCs w:val="24"/>
        </w:rPr>
        <w:t>T</w:t>
      </w:r>
      <w:r w:rsidR="00F93C09" w:rsidRPr="0074322C">
        <w:rPr>
          <w:rFonts w:ascii="Times New Roman" w:hAnsi="Times New Roman" w:cs="Times New Roman"/>
          <w:sz w:val="24"/>
          <w:szCs w:val="24"/>
        </w:rPr>
        <w:t>he degree of hydrolysis in each condition was then determined by quantification of nonprotein nitrogen (NPN).</w:t>
      </w:r>
    </w:p>
    <w:p w:rsidR="003B1052" w:rsidRDefault="003B1052" w:rsidP="0074322C">
      <w:pPr>
        <w:autoSpaceDE w:val="0"/>
        <w:autoSpaceDN w:val="0"/>
        <w:adjustRightInd w:val="0"/>
        <w:spacing w:after="0" w:line="480" w:lineRule="auto"/>
        <w:jc w:val="both"/>
        <w:rPr>
          <w:rFonts w:ascii="Times New Roman" w:eastAsia="TT3Bo00" w:hAnsi="Times New Roman" w:cs="Times New Roman"/>
          <w:b/>
          <w:sz w:val="24"/>
          <w:szCs w:val="24"/>
        </w:rPr>
      </w:pPr>
    </w:p>
    <w:p w:rsidR="009E6D0D" w:rsidRPr="0074322C" w:rsidRDefault="009E6D0D" w:rsidP="0074322C">
      <w:pPr>
        <w:autoSpaceDE w:val="0"/>
        <w:autoSpaceDN w:val="0"/>
        <w:adjustRightInd w:val="0"/>
        <w:spacing w:after="0" w:line="480" w:lineRule="auto"/>
        <w:jc w:val="both"/>
        <w:rPr>
          <w:rFonts w:ascii="Times New Roman" w:eastAsia="TT3Bo00" w:hAnsi="Times New Roman" w:cs="Times New Roman"/>
          <w:b/>
          <w:sz w:val="24"/>
          <w:szCs w:val="24"/>
        </w:rPr>
      </w:pPr>
      <w:r w:rsidRPr="0074322C">
        <w:rPr>
          <w:rFonts w:ascii="Times New Roman" w:eastAsia="TT3Bo00" w:hAnsi="Times New Roman" w:cs="Times New Roman"/>
          <w:b/>
          <w:sz w:val="24"/>
          <w:szCs w:val="24"/>
        </w:rPr>
        <w:t>Determination of degree of hydrolysis</w:t>
      </w:r>
    </w:p>
    <w:p w:rsidR="003B1052" w:rsidRDefault="003B1052" w:rsidP="0074322C">
      <w:pPr>
        <w:autoSpaceDE w:val="0"/>
        <w:autoSpaceDN w:val="0"/>
        <w:adjustRightInd w:val="0"/>
        <w:spacing w:after="0" w:line="480" w:lineRule="auto"/>
        <w:ind w:firstLine="720"/>
        <w:jc w:val="both"/>
        <w:rPr>
          <w:rFonts w:ascii="Times New Roman" w:eastAsia="TT3Bo00" w:hAnsi="Times New Roman" w:cs="Times New Roman"/>
          <w:sz w:val="24"/>
          <w:szCs w:val="24"/>
        </w:rPr>
      </w:pPr>
    </w:p>
    <w:p w:rsidR="009E6D0D" w:rsidRPr="0074322C" w:rsidRDefault="009E6D0D" w:rsidP="0074322C">
      <w:pPr>
        <w:autoSpaceDE w:val="0"/>
        <w:autoSpaceDN w:val="0"/>
        <w:adjustRightInd w:val="0"/>
        <w:spacing w:after="0" w:line="480" w:lineRule="auto"/>
        <w:ind w:firstLine="720"/>
        <w:jc w:val="both"/>
        <w:rPr>
          <w:rFonts w:ascii="Times New Roman" w:eastAsia="TT3Bo00" w:hAnsi="Times New Roman" w:cs="Times New Roman"/>
          <w:sz w:val="24"/>
          <w:szCs w:val="24"/>
        </w:rPr>
      </w:pPr>
      <w:r w:rsidRPr="0074322C">
        <w:rPr>
          <w:rFonts w:ascii="Times New Roman" w:eastAsia="TT3Bo00" w:hAnsi="Times New Roman" w:cs="Times New Roman"/>
          <w:sz w:val="24"/>
          <w:szCs w:val="24"/>
        </w:rPr>
        <w:t xml:space="preserve">The degree of hydrolysis (DH) of </w:t>
      </w:r>
      <w:r w:rsidR="000662B0" w:rsidRPr="0074322C">
        <w:rPr>
          <w:rFonts w:ascii="Times New Roman" w:eastAsia="TT3Bo00" w:hAnsi="Times New Roman" w:cs="Times New Roman"/>
          <w:sz w:val="24"/>
          <w:szCs w:val="24"/>
        </w:rPr>
        <w:t>whey</w:t>
      </w:r>
      <w:r w:rsidRPr="0074322C">
        <w:rPr>
          <w:rFonts w:ascii="Times New Roman" w:eastAsia="TT3Bo00" w:hAnsi="Times New Roman" w:cs="Times New Roman"/>
          <w:sz w:val="24"/>
          <w:szCs w:val="24"/>
        </w:rPr>
        <w:t xml:space="preserve"> hydrolysates was determined by the percentage</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of solubilized protein in 10% (w/v) trichloroacetic acid (TCA), in relation to the</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total protein content of the sample according to Hoyle and Merritt (1994), with</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modifications. Aliquots of 500 μL of the hydrolyzed protein were mixed with</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500 μL of 20% (w/v) of TCA solution to obtain the soluble and insoluble fractions</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in 10% TCA. After 30 min of rest, the mixture was centrifuged (Cooling Microfuge</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Model CM 12, Remi Elektrotechnik Ltd, Vasai, India) at 3500 rpm for 15 min, and the</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soluble protein content of the supernatant was determined by the method of Lowry</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i/>
          <w:sz w:val="24"/>
          <w:szCs w:val="24"/>
        </w:rPr>
        <w:t>et al</w:t>
      </w:r>
      <w:r w:rsidRPr="0074322C">
        <w:rPr>
          <w:rFonts w:ascii="Times New Roman" w:eastAsia="TT3Bo00" w:hAnsi="Times New Roman" w:cs="Times New Roman"/>
          <w:sz w:val="24"/>
          <w:szCs w:val="24"/>
        </w:rPr>
        <w:t>. (1951), modified by Hartree (1972). Bovine serum albumin (BSA) was used as</w:t>
      </w:r>
      <w:r w:rsidR="000662B0" w:rsidRPr="0074322C">
        <w:rPr>
          <w:rFonts w:ascii="Times New Roman" w:eastAsia="TT3Bo00" w:hAnsi="Times New Roman" w:cs="Times New Roman"/>
          <w:sz w:val="24"/>
          <w:szCs w:val="24"/>
        </w:rPr>
        <w:t xml:space="preserve"> </w:t>
      </w:r>
      <w:r w:rsidRPr="0074322C">
        <w:rPr>
          <w:rFonts w:ascii="Times New Roman" w:eastAsia="TT3Bo00" w:hAnsi="Times New Roman" w:cs="Times New Roman"/>
          <w:sz w:val="24"/>
          <w:szCs w:val="24"/>
        </w:rPr>
        <w:t>the standard. The DH was calculated according to the following equation:</w:t>
      </w:r>
    </w:p>
    <w:p w:rsidR="00D31876" w:rsidRPr="0074322C" w:rsidRDefault="009E6D0D" w:rsidP="0074322C">
      <w:pPr>
        <w:autoSpaceDE w:val="0"/>
        <w:autoSpaceDN w:val="0"/>
        <w:adjustRightInd w:val="0"/>
        <w:spacing w:after="0" w:line="480" w:lineRule="auto"/>
        <w:jc w:val="both"/>
        <w:rPr>
          <w:rFonts w:ascii="Times New Roman" w:hAnsi="Times New Roman" w:cs="Times New Roman"/>
          <w:sz w:val="24"/>
          <w:szCs w:val="24"/>
        </w:rPr>
      </w:pPr>
      <w:r w:rsidRPr="0074322C">
        <w:rPr>
          <w:rFonts w:ascii="Times New Roman" w:eastAsia="TT3Bo00" w:hAnsi="Times New Roman" w:cs="Times New Roman"/>
          <w:sz w:val="24"/>
          <w:szCs w:val="24"/>
        </w:rPr>
        <w:t>DH %</w:t>
      </w:r>
      <w:r w:rsidR="00011212" w:rsidRPr="0074322C">
        <w:rPr>
          <w:rFonts w:ascii="Times New Roman" w:eastAsia="TT3Bo00" w:hAnsi="Times New Roman" w:cs="Times New Roman"/>
          <w:sz w:val="24"/>
          <w:szCs w:val="24"/>
        </w:rPr>
        <w:t xml:space="preserve"> = </w:t>
      </w:r>
      <w:r w:rsidR="00D31876" w:rsidRPr="0074322C">
        <w:rPr>
          <w:rFonts w:ascii="Times New Roman" w:hAnsi="Times New Roman" w:cs="Times New Roman"/>
          <w:sz w:val="24"/>
          <w:szCs w:val="24"/>
        </w:rPr>
        <w:t>(h/ h</w:t>
      </w:r>
      <w:r w:rsidR="00D31876" w:rsidRPr="0074322C">
        <w:rPr>
          <w:rFonts w:ascii="Times New Roman" w:hAnsi="Times New Roman" w:cs="Times New Roman"/>
          <w:sz w:val="24"/>
          <w:szCs w:val="24"/>
          <w:vertAlign w:val="subscript"/>
        </w:rPr>
        <w:t>tot</w:t>
      </w:r>
      <w:r w:rsidR="00D31876" w:rsidRPr="0074322C">
        <w:rPr>
          <w:rFonts w:ascii="Times New Roman" w:hAnsi="Times New Roman" w:cs="Times New Roman"/>
          <w:sz w:val="24"/>
          <w:szCs w:val="24"/>
        </w:rPr>
        <w:t>) x 100</w:t>
      </w:r>
    </w:p>
    <w:p w:rsidR="00D31876" w:rsidRPr="0074322C" w:rsidRDefault="00D31876" w:rsidP="0074322C">
      <w:pPr>
        <w:autoSpaceDE w:val="0"/>
        <w:autoSpaceDN w:val="0"/>
        <w:adjustRightInd w:val="0"/>
        <w:spacing w:after="0" w:line="480" w:lineRule="auto"/>
        <w:jc w:val="both"/>
        <w:rPr>
          <w:rFonts w:ascii="Times New Roman" w:hAnsi="Times New Roman" w:cs="Times New Roman"/>
          <w:sz w:val="24"/>
          <w:szCs w:val="24"/>
        </w:rPr>
      </w:pPr>
      <w:r w:rsidRPr="0074322C">
        <w:rPr>
          <w:rFonts w:ascii="Times New Roman" w:hAnsi="Times New Roman" w:cs="Times New Roman"/>
          <w:sz w:val="24"/>
          <w:szCs w:val="24"/>
        </w:rPr>
        <w:t>Where, h = (serine-NH</w:t>
      </w:r>
      <w:r w:rsidRPr="0074322C">
        <w:rPr>
          <w:rFonts w:ascii="Times New Roman" w:hAnsi="Times New Roman" w:cs="Times New Roman"/>
          <w:sz w:val="24"/>
          <w:szCs w:val="24"/>
          <w:vertAlign w:val="subscript"/>
        </w:rPr>
        <w:t>2</w:t>
      </w:r>
      <w:r w:rsidRPr="0074322C">
        <w:rPr>
          <w:rFonts w:ascii="Times New Roman" w:hAnsi="Times New Roman" w:cs="Times New Roman"/>
          <w:sz w:val="24"/>
          <w:szCs w:val="24"/>
        </w:rPr>
        <w:t xml:space="preserve"> - β) / α meqv / g / protein.</w:t>
      </w:r>
    </w:p>
    <w:p w:rsidR="00980FC3" w:rsidRPr="0074322C" w:rsidRDefault="00980FC3" w:rsidP="0074322C">
      <w:pPr>
        <w:autoSpaceDE w:val="0"/>
        <w:autoSpaceDN w:val="0"/>
        <w:adjustRightInd w:val="0"/>
        <w:spacing w:after="0" w:line="480" w:lineRule="auto"/>
        <w:jc w:val="both"/>
        <w:rPr>
          <w:rFonts w:ascii="Times New Roman" w:hAnsi="Times New Roman" w:cs="Times New Roman"/>
          <w:sz w:val="24"/>
          <w:szCs w:val="24"/>
        </w:rPr>
      </w:pPr>
      <w:r w:rsidRPr="0074322C">
        <w:rPr>
          <w:rFonts w:ascii="Times New Roman" w:hAnsi="Times New Roman" w:cs="Times New Roman"/>
          <w:sz w:val="24"/>
          <w:szCs w:val="24"/>
        </w:rPr>
        <w:lastRenderedPageBreak/>
        <w:t>α, β and h</w:t>
      </w:r>
      <w:r w:rsidRPr="0074322C">
        <w:rPr>
          <w:rFonts w:ascii="Times New Roman" w:hAnsi="Times New Roman" w:cs="Times New Roman"/>
          <w:sz w:val="24"/>
          <w:szCs w:val="24"/>
          <w:vertAlign w:val="subscript"/>
        </w:rPr>
        <w:t>tot</w:t>
      </w:r>
      <w:r w:rsidRPr="0074322C">
        <w:rPr>
          <w:rFonts w:ascii="Times New Roman" w:hAnsi="Times New Roman" w:cs="Times New Roman"/>
          <w:sz w:val="24"/>
          <w:szCs w:val="24"/>
        </w:rPr>
        <w:t xml:space="preserve"> constants for whey protein are 1.039, 0.383 and 8.2, respectively.</w:t>
      </w:r>
    </w:p>
    <w:p w:rsidR="003B1052" w:rsidRDefault="003B1052" w:rsidP="0074322C">
      <w:pPr>
        <w:autoSpaceDE w:val="0"/>
        <w:autoSpaceDN w:val="0"/>
        <w:adjustRightInd w:val="0"/>
        <w:spacing w:after="0" w:line="480" w:lineRule="auto"/>
        <w:jc w:val="both"/>
        <w:rPr>
          <w:rFonts w:ascii="Times New Roman" w:eastAsia="TT3Bo00" w:hAnsi="Times New Roman" w:cs="Times New Roman"/>
          <w:b/>
          <w:sz w:val="24"/>
          <w:szCs w:val="24"/>
        </w:rPr>
      </w:pPr>
    </w:p>
    <w:p w:rsidR="00F93C09" w:rsidRPr="0074322C" w:rsidRDefault="00F93C09" w:rsidP="0074322C">
      <w:pPr>
        <w:autoSpaceDE w:val="0"/>
        <w:autoSpaceDN w:val="0"/>
        <w:adjustRightInd w:val="0"/>
        <w:spacing w:after="0" w:line="480" w:lineRule="auto"/>
        <w:jc w:val="both"/>
        <w:rPr>
          <w:rFonts w:ascii="Times New Roman" w:eastAsia="TT3Bo00" w:hAnsi="Times New Roman" w:cs="Times New Roman"/>
          <w:b/>
          <w:sz w:val="24"/>
          <w:szCs w:val="24"/>
        </w:rPr>
      </w:pPr>
      <w:r w:rsidRPr="0074322C">
        <w:rPr>
          <w:rFonts w:ascii="Times New Roman" w:eastAsia="TT3Bo00" w:hAnsi="Times New Roman" w:cs="Times New Roman"/>
          <w:b/>
          <w:sz w:val="24"/>
          <w:szCs w:val="24"/>
        </w:rPr>
        <w:t>SDS-PAGE</w:t>
      </w:r>
    </w:p>
    <w:p w:rsidR="003B1052" w:rsidRDefault="003B1052" w:rsidP="0074322C">
      <w:pPr>
        <w:autoSpaceDE w:val="0"/>
        <w:autoSpaceDN w:val="0"/>
        <w:adjustRightInd w:val="0"/>
        <w:spacing w:after="0" w:line="480" w:lineRule="auto"/>
        <w:ind w:firstLine="720"/>
        <w:jc w:val="both"/>
        <w:rPr>
          <w:rFonts w:ascii="Times New Roman" w:hAnsi="Times New Roman" w:cs="Times New Roman"/>
          <w:sz w:val="24"/>
          <w:szCs w:val="24"/>
        </w:rPr>
      </w:pPr>
    </w:p>
    <w:p w:rsidR="006C4256" w:rsidRPr="0074322C" w:rsidRDefault="00F93C09" w:rsidP="0074322C">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74322C">
        <w:rPr>
          <w:rFonts w:ascii="Times New Roman" w:hAnsi="Times New Roman" w:cs="Times New Roman"/>
          <w:sz w:val="24"/>
          <w:szCs w:val="24"/>
        </w:rPr>
        <w:t>This procedure was carried out on a 12.5% acrylamide</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gel, as described by Laemmli (1970). The sample was</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mixed with 2</w:t>
      </w:r>
      <w:r w:rsidRPr="0074322C">
        <w:rPr>
          <w:rFonts w:ascii="Times New Roman" w:eastAsia="TT3Bo00" w:hAnsi="Times New Roman" w:cs="Times New Roman"/>
          <w:sz w:val="24"/>
          <w:szCs w:val="24"/>
        </w:rPr>
        <w:t xml:space="preserve">× </w:t>
      </w:r>
      <w:r w:rsidRPr="0074322C">
        <w:rPr>
          <w:rFonts w:ascii="Times New Roman" w:hAnsi="Times New Roman" w:cs="Times New Roman"/>
          <w:sz w:val="24"/>
          <w:szCs w:val="24"/>
        </w:rPr>
        <w:t>sample buffer (0.125 M Tris-HCl pH 6.8,</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4% SDS, 20% glycerol, and 2% </w:t>
      </w:r>
      <w:r w:rsidRPr="0074322C">
        <w:rPr>
          <w:rFonts w:ascii="Times New Roman" w:eastAsia="TT3Bo00" w:hAnsi="Times New Roman" w:cs="Times New Roman"/>
          <w:sz w:val="24"/>
          <w:szCs w:val="24"/>
        </w:rPr>
        <w:t>β</w:t>
      </w:r>
      <w:r w:rsidRPr="0074322C">
        <w:rPr>
          <w:rFonts w:ascii="Times New Roman" w:hAnsi="Times New Roman" w:cs="Times New Roman"/>
          <w:sz w:val="24"/>
          <w:szCs w:val="24"/>
        </w:rPr>
        <w:t>-mercaptoethanol) and</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then heated at 95°C for 10 min. Electrophoresis was performed</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at 20 mA for 1 h, using a Mini-Protean® Tetra System</w:t>
      </w:r>
      <w:r w:rsidR="00272222" w:rsidRPr="0074322C">
        <w:rPr>
          <w:rFonts w:ascii="Times New Roman" w:hAnsi="Times New Roman" w:cs="Times New Roman"/>
          <w:sz w:val="24"/>
          <w:szCs w:val="24"/>
        </w:rPr>
        <w:t xml:space="preserve"> </w:t>
      </w:r>
      <w:r w:rsidRPr="0074322C">
        <w:rPr>
          <w:rFonts w:ascii="Times New Roman" w:hAnsi="Times New Roman" w:cs="Times New Roman"/>
          <w:sz w:val="24"/>
          <w:szCs w:val="24"/>
        </w:rPr>
        <w:t>and PowerPacTM HV (Bio-Rad, Hercules, USA). The</w:t>
      </w:r>
      <w:r w:rsidR="00272222" w:rsidRPr="0074322C">
        <w:rPr>
          <w:rFonts w:ascii="Times New Roman" w:hAnsi="Times New Roman" w:cs="Times New Roman"/>
          <w:sz w:val="24"/>
          <w:szCs w:val="24"/>
        </w:rPr>
        <w:t xml:space="preserve"> gel was stained for 1 h with a Coomassie blue solution</w:t>
      </w:r>
      <w:r w:rsidR="00C936A8" w:rsidRPr="0074322C">
        <w:rPr>
          <w:rFonts w:ascii="Times New Roman" w:hAnsi="Times New Roman" w:cs="Times New Roman"/>
          <w:sz w:val="24"/>
          <w:szCs w:val="24"/>
        </w:rPr>
        <w:t xml:space="preserve"> </w:t>
      </w:r>
      <w:r w:rsidR="00272222" w:rsidRPr="0074322C">
        <w:rPr>
          <w:rFonts w:ascii="Times New Roman" w:hAnsi="Times New Roman" w:cs="Times New Roman"/>
          <w:sz w:val="24"/>
          <w:szCs w:val="24"/>
        </w:rPr>
        <w:t>(0.025% Coomassie blue g-250, 40% methanol, and 7%</w:t>
      </w:r>
      <w:r w:rsidR="00C936A8" w:rsidRPr="0074322C">
        <w:rPr>
          <w:rFonts w:ascii="Times New Roman" w:hAnsi="Times New Roman" w:cs="Times New Roman"/>
          <w:sz w:val="24"/>
          <w:szCs w:val="24"/>
        </w:rPr>
        <w:t xml:space="preserve"> </w:t>
      </w:r>
      <w:r w:rsidR="00272222" w:rsidRPr="0074322C">
        <w:rPr>
          <w:rFonts w:ascii="Times New Roman" w:hAnsi="Times New Roman" w:cs="Times New Roman"/>
          <w:sz w:val="24"/>
          <w:szCs w:val="24"/>
        </w:rPr>
        <w:t>glacial acetic acid). Analysis of the bands on the gel was</w:t>
      </w:r>
      <w:r w:rsidR="00C936A8" w:rsidRPr="0074322C">
        <w:rPr>
          <w:rFonts w:ascii="Times New Roman" w:hAnsi="Times New Roman" w:cs="Times New Roman"/>
          <w:sz w:val="24"/>
          <w:szCs w:val="24"/>
        </w:rPr>
        <w:t xml:space="preserve"> </w:t>
      </w:r>
      <w:r w:rsidR="00272222" w:rsidRPr="0074322C">
        <w:rPr>
          <w:rFonts w:ascii="Times New Roman" w:hAnsi="Times New Roman" w:cs="Times New Roman"/>
          <w:sz w:val="24"/>
          <w:szCs w:val="24"/>
        </w:rPr>
        <w:t>performed using a Molecular Imager® GelDocTM XR plus</w:t>
      </w:r>
      <w:r w:rsidR="00C936A8" w:rsidRPr="0074322C">
        <w:rPr>
          <w:rFonts w:ascii="Times New Roman" w:hAnsi="Times New Roman" w:cs="Times New Roman"/>
          <w:sz w:val="24"/>
          <w:szCs w:val="24"/>
        </w:rPr>
        <w:t xml:space="preserve"> </w:t>
      </w:r>
      <w:r w:rsidR="00272222" w:rsidRPr="0074322C">
        <w:rPr>
          <w:rFonts w:ascii="Times New Roman" w:hAnsi="Times New Roman" w:cs="Times New Roman"/>
          <w:sz w:val="24"/>
          <w:szCs w:val="24"/>
        </w:rPr>
        <w:t>Imaging system and the Image LabTM software version 5.1</w:t>
      </w:r>
      <w:r w:rsidR="00C936A8" w:rsidRPr="0074322C">
        <w:rPr>
          <w:rFonts w:ascii="Times New Roman" w:hAnsi="Times New Roman" w:cs="Times New Roman"/>
          <w:sz w:val="24"/>
          <w:szCs w:val="24"/>
        </w:rPr>
        <w:t xml:space="preserve"> </w:t>
      </w:r>
      <w:r w:rsidR="00272222" w:rsidRPr="0074322C">
        <w:rPr>
          <w:rFonts w:ascii="Times New Roman" w:hAnsi="Times New Roman" w:cs="Times New Roman"/>
          <w:sz w:val="24"/>
          <w:szCs w:val="24"/>
        </w:rPr>
        <w:t>(Bio-Rad).</w:t>
      </w:r>
    </w:p>
    <w:p w:rsidR="003B1052" w:rsidRDefault="003B1052" w:rsidP="0074322C">
      <w:pPr>
        <w:autoSpaceDE w:val="0"/>
        <w:autoSpaceDN w:val="0"/>
        <w:adjustRightInd w:val="0"/>
        <w:spacing w:after="0" w:line="480" w:lineRule="auto"/>
        <w:jc w:val="both"/>
        <w:rPr>
          <w:rFonts w:ascii="Times New Roman" w:hAnsi="Times New Roman" w:cs="Times New Roman"/>
          <w:b/>
          <w:sz w:val="24"/>
          <w:szCs w:val="24"/>
        </w:rPr>
      </w:pPr>
    </w:p>
    <w:p w:rsidR="00272222" w:rsidRPr="0074322C" w:rsidRDefault="00272222" w:rsidP="0074322C">
      <w:pPr>
        <w:autoSpaceDE w:val="0"/>
        <w:autoSpaceDN w:val="0"/>
        <w:adjustRightInd w:val="0"/>
        <w:spacing w:after="0" w:line="480" w:lineRule="auto"/>
        <w:jc w:val="both"/>
        <w:rPr>
          <w:rFonts w:ascii="Times New Roman" w:hAnsi="Times New Roman" w:cs="Times New Roman"/>
          <w:b/>
          <w:sz w:val="24"/>
          <w:szCs w:val="24"/>
        </w:rPr>
      </w:pPr>
      <w:r w:rsidRPr="0074322C">
        <w:rPr>
          <w:rFonts w:ascii="Times New Roman" w:hAnsi="Times New Roman" w:cs="Times New Roman"/>
          <w:b/>
          <w:sz w:val="24"/>
          <w:szCs w:val="24"/>
        </w:rPr>
        <w:t>Determination of NPN</w:t>
      </w:r>
    </w:p>
    <w:p w:rsidR="003B1052" w:rsidRDefault="003B1052" w:rsidP="0074322C">
      <w:pPr>
        <w:autoSpaceDE w:val="0"/>
        <w:autoSpaceDN w:val="0"/>
        <w:adjustRightInd w:val="0"/>
        <w:spacing w:after="0" w:line="480" w:lineRule="auto"/>
        <w:ind w:firstLine="720"/>
        <w:jc w:val="both"/>
        <w:rPr>
          <w:rFonts w:ascii="Times New Roman" w:hAnsi="Times New Roman" w:cs="Times New Roman"/>
          <w:sz w:val="24"/>
          <w:szCs w:val="24"/>
        </w:rPr>
      </w:pPr>
    </w:p>
    <w:p w:rsidR="006C4256" w:rsidRPr="0074322C" w:rsidRDefault="00272222"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NPN contents were measured by the Folin-Lowry method</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(Lowry </w:t>
      </w:r>
      <w:r w:rsidRPr="0074322C">
        <w:rPr>
          <w:rFonts w:ascii="Times New Roman" w:hAnsi="Times New Roman" w:cs="Times New Roman"/>
          <w:i/>
          <w:sz w:val="24"/>
          <w:szCs w:val="24"/>
        </w:rPr>
        <w:t>et al</w:t>
      </w:r>
      <w:r w:rsidRPr="0074322C">
        <w:rPr>
          <w:rFonts w:ascii="Times New Roman" w:hAnsi="Times New Roman" w:cs="Times New Roman"/>
          <w:sz w:val="24"/>
          <w:szCs w:val="24"/>
        </w:rPr>
        <w:t>., 1951). In brief, 2 mL of the hydrolyzed</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sample and the same volume of 24% trichloroacetic</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acid solution were mixed, incubated for 30 min, and centrifuged</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at 3,000 rpm for 20 min (Labogene 1736R). Next,</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1 mL of the supernatant was transferred to a fresh test tube,</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5 mL of the assay reagent (2% sodium carbonate in a 0.1</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N sodium hydroxide solution and 0.5% copper sulfate</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pentahydrate in a 1% sodium citrate solution mixed in a</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50:1 ratio) was added, the mixture was incubated for 15</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min at room temperature, and then mixed with 0.5 mL of</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the phenol reagent. After 30 min of </w:t>
      </w:r>
      <w:r w:rsidRPr="0074322C">
        <w:rPr>
          <w:rFonts w:ascii="Times New Roman" w:hAnsi="Times New Roman" w:cs="Times New Roman"/>
          <w:sz w:val="24"/>
          <w:szCs w:val="24"/>
        </w:rPr>
        <w:lastRenderedPageBreak/>
        <w:t>incubation, the absorbance</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of the mixture was measured at 750 nm. The standard</w:t>
      </w:r>
      <w:r w:rsidR="00C936A8" w:rsidRPr="0074322C">
        <w:rPr>
          <w:rFonts w:ascii="Times New Roman" w:hAnsi="Times New Roman" w:cs="Times New Roman"/>
          <w:sz w:val="24"/>
          <w:szCs w:val="24"/>
        </w:rPr>
        <w:t xml:space="preserve"> </w:t>
      </w:r>
      <w:r w:rsidRPr="0074322C">
        <w:rPr>
          <w:rFonts w:ascii="Times New Roman" w:hAnsi="Times New Roman" w:cs="Times New Roman"/>
          <w:sz w:val="24"/>
          <w:szCs w:val="24"/>
        </w:rPr>
        <w:t>solution was prepared from bovine serum albumin.</w:t>
      </w:r>
    </w:p>
    <w:p w:rsidR="003B1052" w:rsidRDefault="003B1052" w:rsidP="0074322C">
      <w:pPr>
        <w:autoSpaceDE w:val="0"/>
        <w:autoSpaceDN w:val="0"/>
        <w:adjustRightInd w:val="0"/>
        <w:spacing w:after="0" w:line="480" w:lineRule="auto"/>
        <w:jc w:val="both"/>
        <w:rPr>
          <w:rFonts w:ascii="Times New Roman" w:hAnsi="Times New Roman" w:cs="Times New Roman"/>
          <w:b/>
          <w:color w:val="131413"/>
          <w:sz w:val="24"/>
          <w:szCs w:val="24"/>
        </w:rPr>
      </w:pPr>
    </w:p>
    <w:p w:rsidR="00BE20D1" w:rsidRPr="0074322C" w:rsidRDefault="00BE20D1" w:rsidP="0074322C">
      <w:pPr>
        <w:autoSpaceDE w:val="0"/>
        <w:autoSpaceDN w:val="0"/>
        <w:adjustRightInd w:val="0"/>
        <w:spacing w:after="0" w:line="480" w:lineRule="auto"/>
        <w:jc w:val="both"/>
        <w:rPr>
          <w:rFonts w:ascii="Times New Roman" w:hAnsi="Times New Roman" w:cs="Times New Roman"/>
          <w:b/>
          <w:color w:val="131413"/>
          <w:sz w:val="24"/>
          <w:szCs w:val="24"/>
        </w:rPr>
      </w:pPr>
      <w:r w:rsidRPr="0074322C">
        <w:rPr>
          <w:rFonts w:ascii="Times New Roman" w:hAnsi="Times New Roman" w:cs="Times New Roman"/>
          <w:b/>
          <w:color w:val="131413"/>
          <w:sz w:val="24"/>
          <w:szCs w:val="24"/>
        </w:rPr>
        <w:t>ABTS+ radical-scavenging activity</w:t>
      </w:r>
    </w:p>
    <w:p w:rsidR="003B1052" w:rsidRDefault="003B1052" w:rsidP="0074322C">
      <w:pPr>
        <w:autoSpaceDE w:val="0"/>
        <w:autoSpaceDN w:val="0"/>
        <w:adjustRightInd w:val="0"/>
        <w:spacing w:after="0" w:line="480" w:lineRule="auto"/>
        <w:ind w:firstLine="720"/>
        <w:jc w:val="both"/>
        <w:rPr>
          <w:rFonts w:ascii="Times New Roman" w:hAnsi="Times New Roman" w:cs="Times New Roman"/>
          <w:color w:val="131413"/>
          <w:sz w:val="24"/>
          <w:szCs w:val="24"/>
        </w:rPr>
      </w:pPr>
    </w:p>
    <w:p w:rsidR="00326C4A" w:rsidRPr="0074322C" w:rsidRDefault="00BE20D1" w:rsidP="0074322C">
      <w:pPr>
        <w:autoSpaceDE w:val="0"/>
        <w:autoSpaceDN w:val="0"/>
        <w:adjustRightInd w:val="0"/>
        <w:spacing w:after="0" w:line="480" w:lineRule="auto"/>
        <w:ind w:firstLine="720"/>
        <w:jc w:val="both"/>
        <w:rPr>
          <w:rFonts w:ascii="Times New Roman" w:eastAsiaTheme="minorHAnsi" w:hAnsi="Times New Roman" w:cs="Times New Roman"/>
          <w:b/>
          <w:bCs/>
          <w:iCs/>
          <w:sz w:val="24"/>
          <w:szCs w:val="24"/>
        </w:rPr>
      </w:pPr>
      <w:r w:rsidRPr="0074322C">
        <w:rPr>
          <w:rFonts w:ascii="Times New Roman" w:hAnsi="Times New Roman" w:cs="Times New Roman"/>
          <w:color w:val="131413"/>
          <w:sz w:val="24"/>
          <w:szCs w:val="24"/>
        </w:rPr>
        <w:t xml:space="preserve">The spectrophotometric analysis of ABTS+ radical-scavenging activity was determined according to method described by described by Salami </w:t>
      </w:r>
      <w:r w:rsidRPr="0074322C">
        <w:rPr>
          <w:rFonts w:ascii="Times New Roman" w:hAnsi="Times New Roman" w:cs="Times New Roman"/>
          <w:i/>
          <w:color w:val="131413"/>
          <w:sz w:val="24"/>
          <w:szCs w:val="24"/>
        </w:rPr>
        <w:t>et al</w:t>
      </w:r>
      <w:r w:rsidRPr="0074322C">
        <w:rPr>
          <w:rFonts w:ascii="Times New Roman" w:hAnsi="Times New Roman" w:cs="Times New Roman"/>
          <w:color w:val="131413"/>
          <w:sz w:val="24"/>
          <w:szCs w:val="24"/>
        </w:rPr>
        <w:t>. (</w:t>
      </w:r>
      <w:r w:rsidRPr="0074322C">
        <w:rPr>
          <w:rFonts w:ascii="Times New Roman" w:hAnsi="Times New Roman" w:cs="Times New Roman"/>
          <w:color w:val="3A2A98"/>
          <w:sz w:val="24"/>
          <w:szCs w:val="24"/>
        </w:rPr>
        <w:t>2009</w:t>
      </w:r>
      <w:r w:rsidRPr="0074322C">
        <w:rPr>
          <w:rFonts w:ascii="Times New Roman" w:hAnsi="Times New Roman" w:cs="Times New Roman"/>
          <w:color w:val="131413"/>
          <w:sz w:val="24"/>
          <w:szCs w:val="24"/>
        </w:rPr>
        <w:t>). ABTS radical cation (ABTS</w:t>
      </w:r>
      <w:r w:rsidRPr="0074322C">
        <w:rPr>
          <w:rFonts w:ascii="Times New Roman" w:hAnsi="Times New Roman" w:cs="Times New Roman"/>
          <w:color w:val="131413"/>
          <w:sz w:val="24"/>
          <w:szCs w:val="24"/>
          <w:vertAlign w:val="superscript"/>
        </w:rPr>
        <w:t>+</w:t>
      </w:r>
      <w:r w:rsidRPr="0074322C">
        <w:rPr>
          <w:rFonts w:ascii="Times New Roman" w:hAnsi="Times New Roman" w:cs="Times New Roman"/>
          <w:color w:val="131413"/>
          <w:sz w:val="24"/>
          <w:szCs w:val="24"/>
        </w:rPr>
        <w:t>) was produced by reacting ABTS</w:t>
      </w:r>
      <w:r w:rsidRPr="0074322C">
        <w:rPr>
          <w:rFonts w:ascii="Times New Roman" w:hAnsi="Times New Roman" w:cs="Times New Roman"/>
          <w:color w:val="131413"/>
          <w:sz w:val="24"/>
          <w:szCs w:val="24"/>
          <w:vertAlign w:val="superscript"/>
        </w:rPr>
        <w:t>+</w:t>
      </w:r>
      <w:r w:rsidRPr="0074322C">
        <w:rPr>
          <w:rFonts w:ascii="Times New Roman" w:hAnsi="Times New Roman" w:cs="Times New Roman"/>
          <w:color w:val="131413"/>
          <w:sz w:val="24"/>
          <w:szCs w:val="24"/>
        </w:rPr>
        <w:t xml:space="preserve"> stock solution with equal volume of 2.45mM</w:t>
      </w:r>
      <w:r w:rsidR="00B650C1" w:rsidRPr="0074322C">
        <w:rPr>
          <w:rFonts w:ascii="Times New Roman" w:hAnsi="Times New Roman" w:cs="Times New Roman"/>
          <w:color w:val="131413"/>
          <w:sz w:val="24"/>
          <w:szCs w:val="24"/>
        </w:rPr>
        <w:t xml:space="preserve"> </w:t>
      </w:r>
      <w:r w:rsidRPr="0074322C">
        <w:rPr>
          <w:rFonts w:ascii="Times New Roman" w:hAnsi="Times New Roman" w:cs="Times New Roman"/>
          <w:color w:val="131413"/>
          <w:sz w:val="24"/>
          <w:szCs w:val="24"/>
        </w:rPr>
        <w:t>potassium persulphate (K</w:t>
      </w:r>
      <w:r w:rsidRPr="0074322C">
        <w:rPr>
          <w:rFonts w:ascii="Times New Roman" w:hAnsi="Times New Roman" w:cs="Times New Roman"/>
          <w:color w:val="131413"/>
          <w:sz w:val="24"/>
          <w:szCs w:val="24"/>
          <w:vertAlign w:val="subscript"/>
        </w:rPr>
        <w:t>2</w:t>
      </w:r>
      <w:r w:rsidRPr="0074322C">
        <w:rPr>
          <w:rFonts w:ascii="Times New Roman" w:hAnsi="Times New Roman" w:cs="Times New Roman"/>
          <w:color w:val="131413"/>
          <w:sz w:val="24"/>
          <w:szCs w:val="24"/>
        </w:rPr>
        <w:t>S</w:t>
      </w:r>
      <w:r w:rsidRPr="0074322C">
        <w:rPr>
          <w:rFonts w:ascii="Times New Roman" w:hAnsi="Times New Roman" w:cs="Times New Roman"/>
          <w:color w:val="131413"/>
          <w:sz w:val="24"/>
          <w:szCs w:val="24"/>
          <w:vertAlign w:val="subscript"/>
        </w:rPr>
        <w:t>2</w:t>
      </w:r>
      <w:r w:rsidRPr="0074322C">
        <w:rPr>
          <w:rFonts w:ascii="Times New Roman" w:hAnsi="Times New Roman" w:cs="Times New Roman"/>
          <w:color w:val="131413"/>
          <w:sz w:val="24"/>
          <w:szCs w:val="24"/>
        </w:rPr>
        <w:t>O</w:t>
      </w:r>
      <w:r w:rsidRPr="0074322C">
        <w:rPr>
          <w:rFonts w:ascii="Times New Roman" w:hAnsi="Times New Roman" w:cs="Times New Roman"/>
          <w:color w:val="131413"/>
          <w:sz w:val="24"/>
          <w:szCs w:val="24"/>
          <w:vertAlign w:val="subscript"/>
        </w:rPr>
        <w:t>8</w:t>
      </w:r>
      <w:r w:rsidRPr="0074322C">
        <w:rPr>
          <w:rFonts w:ascii="Times New Roman" w:hAnsi="Times New Roman" w:cs="Times New Roman"/>
          <w:color w:val="131413"/>
          <w:sz w:val="24"/>
          <w:szCs w:val="24"/>
        </w:rPr>
        <w:t>) and allowing the mixture to stand in the dark at room temperature for 16 h before use. Prior to use, the stock solution was diluted with ethanol to an absorbance of 0.70 at t</w:t>
      </w:r>
      <w:r w:rsidRPr="0074322C">
        <w:rPr>
          <w:rFonts w:ascii="Times New Roman" w:hAnsi="Times New Roman" w:cs="Times New Roman"/>
          <w:color w:val="131413"/>
          <w:sz w:val="24"/>
          <w:szCs w:val="24"/>
          <w:vertAlign w:val="subscript"/>
        </w:rPr>
        <w:t>0</w:t>
      </w:r>
      <w:r w:rsidRPr="0074322C">
        <w:rPr>
          <w:rFonts w:ascii="Times New Roman" w:hAnsi="Times New Roman" w:cs="Times New Roman"/>
          <w:color w:val="131413"/>
          <w:sz w:val="24"/>
          <w:szCs w:val="24"/>
        </w:rPr>
        <w:t xml:space="preserve"> (t=0 min) and equilibrated at 30 °C exactly 6 min after initial mixing. About 1 mL of ABTS</w:t>
      </w:r>
      <w:r w:rsidRPr="0074322C">
        <w:rPr>
          <w:rFonts w:ascii="Times New Roman" w:hAnsi="Times New Roman" w:cs="Times New Roman"/>
          <w:color w:val="131413"/>
          <w:sz w:val="24"/>
          <w:szCs w:val="24"/>
          <w:vertAlign w:val="superscript"/>
        </w:rPr>
        <w:t>+</w:t>
      </w:r>
      <w:r w:rsidRPr="0074322C">
        <w:rPr>
          <w:rFonts w:ascii="Times New Roman" w:hAnsi="Times New Roman" w:cs="Times New Roman"/>
          <w:color w:val="131413"/>
          <w:sz w:val="24"/>
          <w:szCs w:val="24"/>
        </w:rPr>
        <w:t xml:space="preserve"> working standard solution was mixed with 10 μL of hydrolysate/standard and absorbance was measured after 20 min (t</w:t>
      </w:r>
      <w:r w:rsidRPr="0074322C">
        <w:rPr>
          <w:rFonts w:ascii="Times New Roman" w:hAnsi="Times New Roman" w:cs="Times New Roman"/>
          <w:color w:val="131413"/>
          <w:sz w:val="24"/>
          <w:szCs w:val="24"/>
          <w:vertAlign w:val="subscript"/>
        </w:rPr>
        <w:t>20</w:t>
      </w:r>
      <w:r w:rsidRPr="0074322C">
        <w:rPr>
          <w:rFonts w:ascii="Times New Roman" w:hAnsi="Times New Roman" w:cs="Times New Roman"/>
          <w:color w:val="131413"/>
          <w:sz w:val="24"/>
          <w:szCs w:val="24"/>
        </w:rPr>
        <w:t>) at 734 nm in multimode reader (Synergy H1 Hybrid Multi-Mode Microplate Reader, BioTek India, Mumbai). The ABTS</w:t>
      </w:r>
      <w:r w:rsidRPr="0074322C">
        <w:rPr>
          <w:rFonts w:ascii="Times New Roman" w:hAnsi="Times New Roman" w:cs="Times New Roman"/>
          <w:color w:val="131413"/>
          <w:sz w:val="24"/>
          <w:szCs w:val="24"/>
          <w:vertAlign w:val="superscript"/>
        </w:rPr>
        <w:t>+</w:t>
      </w:r>
      <w:r w:rsidRPr="0074322C">
        <w:rPr>
          <w:rFonts w:ascii="Times New Roman" w:hAnsi="Times New Roman" w:cs="Times New Roman"/>
          <w:color w:val="131413"/>
          <w:sz w:val="24"/>
          <w:szCs w:val="24"/>
        </w:rPr>
        <w:t xml:space="preserve"> activity was calculated by using the following formula</w:t>
      </w:r>
      <w:r w:rsidR="00724A29" w:rsidRPr="0074322C">
        <w:rPr>
          <w:rFonts w:ascii="Times New Roman" w:hAnsi="Times New Roman" w:cs="Times New Roman"/>
          <w:color w:val="131413"/>
          <w:sz w:val="24"/>
          <w:szCs w:val="24"/>
        </w:rPr>
        <w:t>:</w:t>
      </w:r>
    </w:p>
    <w:p w:rsidR="00F2511E" w:rsidRPr="0074322C" w:rsidRDefault="00F2511E" w:rsidP="0074322C">
      <w:pPr>
        <w:autoSpaceDE w:val="0"/>
        <w:autoSpaceDN w:val="0"/>
        <w:adjustRightInd w:val="0"/>
        <w:spacing w:after="0" w:line="480" w:lineRule="auto"/>
        <w:jc w:val="both"/>
        <w:rPr>
          <w:rFonts w:ascii="Times New Roman" w:hAnsi="Times New Roman" w:cs="Times New Roman"/>
          <w:sz w:val="24"/>
          <w:szCs w:val="24"/>
        </w:rPr>
      </w:pPr>
    </w:p>
    <w:p w:rsidR="00724A29" w:rsidRPr="0074322C" w:rsidRDefault="00724A29" w:rsidP="0074322C">
      <w:pPr>
        <w:autoSpaceDE w:val="0"/>
        <w:autoSpaceDN w:val="0"/>
        <w:adjustRightInd w:val="0"/>
        <w:spacing w:after="0" w:line="480" w:lineRule="auto"/>
        <w:jc w:val="both"/>
        <w:rPr>
          <w:rFonts w:ascii="Times New Roman" w:hAnsi="Times New Roman" w:cs="Times New Roman"/>
          <w:sz w:val="24"/>
          <w:szCs w:val="24"/>
          <w:u w:val="single"/>
        </w:rPr>
      </w:pPr>
      <w:r w:rsidRPr="0074322C">
        <w:rPr>
          <w:rFonts w:ascii="Times New Roman" w:hAnsi="Times New Roman" w:cs="Times New Roman"/>
          <w:sz w:val="24"/>
          <w:szCs w:val="24"/>
        </w:rPr>
        <w:t xml:space="preserve">ABTS activity (% inhibition) = </w:t>
      </w:r>
      <w:r w:rsidRPr="0074322C">
        <w:rPr>
          <w:rFonts w:ascii="Times New Roman" w:hAnsi="Times New Roman" w:cs="Times New Roman"/>
          <w:sz w:val="24"/>
          <w:szCs w:val="24"/>
          <w:u w:val="single"/>
        </w:rPr>
        <w:t>0.7-At</w:t>
      </w:r>
      <w:r w:rsidRPr="0074322C">
        <w:rPr>
          <w:rFonts w:ascii="Times New Roman" w:hAnsi="Times New Roman" w:cs="Times New Roman"/>
          <w:sz w:val="24"/>
          <w:szCs w:val="24"/>
          <w:u w:val="single"/>
          <w:vertAlign w:val="subscript"/>
        </w:rPr>
        <w:t xml:space="preserve">20 </w:t>
      </w:r>
      <w:r w:rsidRPr="0074322C">
        <w:rPr>
          <w:rFonts w:ascii="Times New Roman" w:hAnsi="Times New Roman" w:cs="Times New Roman"/>
          <w:sz w:val="24"/>
          <w:szCs w:val="24"/>
          <w:u w:val="single"/>
        </w:rPr>
        <w:t>x 100</w:t>
      </w:r>
    </w:p>
    <w:p w:rsidR="00724A29" w:rsidRPr="0074322C" w:rsidRDefault="00724A29" w:rsidP="0074322C">
      <w:pPr>
        <w:autoSpaceDE w:val="0"/>
        <w:autoSpaceDN w:val="0"/>
        <w:adjustRightInd w:val="0"/>
        <w:spacing w:after="0" w:line="480" w:lineRule="auto"/>
        <w:ind w:left="2880" w:firstLine="720"/>
        <w:jc w:val="both"/>
        <w:rPr>
          <w:rFonts w:ascii="Times New Roman" w:hAnsi="Times New Roman" w:cs="Times New Roman"/>
          <w:sz w:val="24"/>
          <w:szCs w:val="24"/>
        </w:rPr>
      </w:pPr>
      <w:r w:rsidRPr="0074322C">
        <w:rPr>
          <w:rFonts w:ascii="Times New Roman" w:hAnsi="Times New Roman" w:cs="Times New Roman"/>
          <w:sz w:val="24"/>
          <w:szCs w:val="24"/>
        </w:rPr>
        <w:t>0.7</w:t>
      </w:r>
    </w:p>
    <w:p w:rsidR="003B1052" w:rsidRDefault="003B1052" w:rsidP="0074322C">
      <w:pPr>
        <w:spacing w:after="0" w:line="480" w:lineRule="auto"/>
        <w:jc w:val="both"/>
        <w:rPr>
          <w:rFonts w:ascii="Times New Roman" w:eastAsiaTheme="minorHAnsi" w:hAnsi="Times New Roman" w:cs="Times New Roman"/>
          <w:b/>
          <w:bCs/>
          <w:iCs/>
          <w:sz w:val="24"/>
          <w:szCs w:val="24"/>
        </w:rPr>
      </w:pPr>
    </w:p>
    <w:p w:rsidR="006F60C2" w:rsidRPr="0074322C" w:rsidRDefault="006F60C2" w:rsidP="0074322C">
      <w:pPr>
        <w:spacing w:after="0" w:line="480" w:lineRule="auto"/>
        <w:jc w:val="both"/>
        <w:rPr>
          <w:rFonts w:ascii="Times New Roman" w:eastAsiaTheme="minorHAnsi" w:hAnsi="Times New Roman" w:cs="Times New Roman"/>
          <w:b/>
          <w:bCs/>
          <w:iCs/>
          <w:sz w:val="24"/>
          <w:szCs w:val="24"/>
        </w:rPr>
      </w:pPr>
      <w:r w:rsidRPr="0074322C">
        <w:rPr>
          <w:rFonts w:ascii="Times New Roman" w:eastAsiaTheme="minorHAnsi" w:hAnsi="Times New Roman" w:cs="Times New Roman"/>
          <w:b/>
          <w:bCs/>
          <w:iCs/>
          <w:sz w:val="24"/>
          <w:szCs w:val="24"/>
        </w:rPr>
        <w:t>Calcium Chelating Activity</w:t>
      </w:r>
    </w:p>
    <w:p w:rsidR="003B1052" w:rsidRDefault="003B1052" w:rsidP="0074322C">
      <w:pPr>
        <w:shd w:val="clear" w:color="auto" w:fill="FFFFFF"/>
        <w:spacing w:after="0" w:line="480" w:lineRule="auto"/>
        <w:ind w:firstLine="720"/>
        <w:jc w:val="both"/>
        <w:rPr>
          <w:rFonts w:ascii="Times New Roman" w:hAnsi="Times New Roman" w:cs="Times New Roman"/>
          <w:sz w:val="24"/>
          <w:szCs w:val="24"/>
        </w:rPr>
      </w:pPr>
    </w:p>
    <w:p w:rsidR="006F60C2" w:rsidRPr="0074322C" w:rsidRDefault="006F60C2" w:rsidP="00513A01">
      <w:pPr>
        <w:shd w:val="clear" w:color="auto" w:fill="FFFFFF"/>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 xml:space="preserve">Calcium-binding capacity was defined as the content of calcium (μg) bound with peptide (mg) after the chelation reaction. It was measured with ortho-cresolphthalein complexone </w:t>
      </w:r>
      <w:r w:rsidRPr="0074322C">
        <w:rPr>
          <w:rFonts w:ascii="Times New Roman" w:hAnsi="Times New Roman" w:cs="Times New Roman"/>
          <w:sz w:val="24"/>
          <w:szCs w:val="24"/>
        </w:rPr>
        <w:lastRenderedPageBreak/>
        <w:t xml:space="preserve">reagent using complexometric titration method as per AOAC (1970) and followed by Xixi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(2015) and Pingle </w:t>
      </w:r>
      <w:r w:rsidRPr="0074322C">
        <w:rPr>
          <w:rFonts w:ascii="Times New Roman" w:hAnsi="Times New Roman" w:cs="Times New Roman"/>
          <w:i/>
          <w:sz w:val="24"/>
          <w:szCs w:val="24"/>
        </w:rPr>
        <w:t>et al</w:t>
      </w:r>
      <w:r w:rsidRPr="0074322C">
        <w:rPr>
          <w:rFonts w:ascii="Times New Roman" w:hAnsi="Times New Roman" w:cs="Times New Roman"/>
          <w:sz w:val="24"/>
          <w:szCs w:val="24"/>
        </w:rPr>
        <w:t>. (2016) with some modifications.</w:t>
      </w:r>
      <w:r w:rsidRPr="0074322C">
        <w:rPr>
          <w:rFonts w:ascii="Times New Roman" w:hAnsi="Times New Roman" w:cs="Times New Roman"/>
          <w:b/>
          <w:sz w:val="24"/>
          <w:szCs w:val="24"/>
        </w:rPr>
        <w:t xml:space="preserve"> </w:t>
      </w:r>
      <w:r w:rsidRPr="0074322C">
        <w:rPr>
          <w:rFonts w:ascii="Times New Roman" w:hAnsi="Times New Roman" w:cs="Times New Roman"/>
          <w:sz w:val="24"/>
          <w:szCs w:val="24"/>
        </w:rPr>
        <w:t>250ml of 2.5% (w/v) calcium-chelating peptide and 75ml of 1% (w/v) CaCl</w:t>
      </w:r>
      <w:r w:rsidRPr="0074322C">
        <w:rPr>
          <w:rFonts w:ascii="Times New Roman" w:hAnsi="Times New Roman" w:cs="Times New Roman"/>
          <w:sz w:val="24"/>
          <w:szCs w:val="24"/>
          <w:vertAlign w:val="subscript"/>
        </w:rPr>
        <w:t xml:space="preserve">2 </w:t>
      </w:r>
      <w:r w:rsidRPr="0074322C">
        <w:rPr>
          <w:rFonts w:ascii="Times New Roman" w:hAnsi="Times New Roman" w:cs="Times New Roman"/>
          <w:sz w:val="24"/>
          <w:szCs w:val="24"/>
        </w:rPr>
        <w:t>solutions were prepared in deionized water</w:t>
      </w:r>
      <w:r w:rsidR="00DE516F">
        <w:rPr>
          <w:rFonts w:ascii="Times New Roman" w:hAnsi="Times New Roman" w:cs="Times New Roman"/>
          <w:sz w:val="24"/>
          <w:szCs w:val="24"/>
        </w:rPr>
        <w:t>.</w:t>
      </w:r>
      <w:r w:rsidRPr="0074322C">
        <w:rPr>
          <w:rFonts w:ascii="Times New Roman" w:hAnsi="Times New Roman" w:cs="Times New Roman"/>
          <w:sz w:val="24"/>
          <w:szCs w:val="24"/>
        </w:rPr>
        <w:t xml:space="preserve"> </w:t>
      </w:r>
    </w:p>
    <w:p w:rsidR="006F60C2" w:rsidRPr="0074322C" w:rsidRDefault="006F60C2"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 xml:space="preserve">Then absolute ethanol was added continuously until the final concentration was up to 85% to allow the chelate to be deposited, and then centrifuged at 10000g for 10 min. The obtained composite was collected, and designated as whey protein hydrolysate-calcium chelate, for the determination of properties. </w:t>
      </w:r>
    </w:p>
    <w:p w:rsidR="006F60C2" w:rsidRPr="0074322C" w:rsidRDefault="006F60C2" w:rsidP="0074322C">
      <w:pPr>
        <w:autoSpaceDE w:val="0"/>
        <w:autoSpaceDN w:val="0"/>
        <w:adjustRightInd w:val="0"/>
        <w:spacing w:after="0" w:line="480" w:lineRule="auto"/>
        <w:ind w:firstLine="720"/>
        <w:jc w:val="both"/>
        <w:rPr>
          <w:rFonts w:ascii="Times New Roman" w:eastAsiaTheme="minorHAnsi" w:hAnsi="Times New Roman" w:cs="Times New Roman"/>
          <w:bCs/>
          <w:iCs/>
          <w:sz w:val="24"/>
          <w:szCs w:val="24"/>
        </w:rPr>
      </w:pPr>
      <w:r w:rsidRPr="0074322C">
        <w:rPr>
          <w:rFonts w:ascii="Times New Roman" w:hAnsi="Times New Roman" w:cs="Times New Roman"/>
          <w:sz w:val="24"/>
          <w:szCs w:val="24"/>
        </w:rPr>
        <w:t>Deionized water instead of GMWPH mixed with 5 mmol/L of CaCl</w:t>
      </w:r>
      <w:r w:rsidRPr="0074322C">
        <w:rPr>
          <w:rFonts w:ascii="Times New Roman" w:hAnsi="Times New Roman" w:cs="Times New Roman"/>
          <w:sz w:val="24"/>
          <w:szCs w:val="24"/>
          <w:vertAlign w:val="subscript"/>
        </w:rPr>
        <w:t>2</w:t>
      </w:r>
      <w:r w:rsidRPr="0074322C">
        <w:rPr>
          <w:rFonts w:ascii="Times New Roman" w:hAnsi="Times New Roman" w:cs="Times New Roman"/>
          <w:sz w:val="24"/>
          <w:szCs w:val="24"/>
        </w:rPr>
        <w:t xml:space="preserve"> in 0.2 mol/L of sodium phosphate buffer was set as the GMWPH free control sample. The </w:t>
      </w:r>
      <w:r w:rsidRPr="0074322C">
        <w:rPr>
          <w:rFonts w:ascii="Times New Roman" w:hAnsi="Times New Roman" w:cs="Times New Roman"/>
          <w:color w:val="000000" w:themeColor="text1"/>
          <w:sz w:val="24"/>
          <w:szCs w:val="24"/>
        </w:rPr>
        <w:t>absorbance at 570 nm</w:t>
      </w:r>
      <w:r w:rsidRPr="0074322C">
        <w:rPr>
          <w:rFonts w:ascii="Times New Roman" w:hAnsi="Times New Roman" w:cs="Times New Roman"/>
          <w:sz w:val="24"/>
          <w:szCs w:val="24"/>
        </w:rPr>
        <w:t xml:space="preserve"> was determined after adding the working solution to the sample. </w:t>
      </w:r>
    </w:p>
    <w:p w:rsidR="003B1052" w:rsidRDefault="003B1052" w:rsidP="0074322C">
      <w:pPr>
        <w:autoSpaceDE w:val="0"/>
        <w:autoSpaceDN w:val="0"/>
        <w:adjustRightInd w:val="0"/>
        <w:spacing w:after="0" w:line="480" w:lineRule="auto"/>
        <w:jc w:val="both"/>
        <w:rPr>
          <w:rFonts w:ascii="Times New Roman" w:hAnsi="Times New Roman" w:cs="Times New Roman"/>
          <w:b/>
          <w:sz w:val="24"/>
          <w:szCs w:val="24"/>
        </w:rPr>
      </w:pPr>
    </w:p>
    <w:p w:rsidR="006F60C2" w:rsidRPr="0074322C" w:rsidRDefault="006F60C2" w:rsidP="0074322C">
      <w:pPr>
        <w:autoSpaceDE w:val="0"/>
        <w:autoSpaceDN w:val="0"/>
        <w:adjustRightInd w:val="0"/>
        <w:spacing w:after="0" w:line="480" w:lineRule="auto"/>
        <w:jc w:val="both"/>
        <w:rPr>
          <w:rFonts w:ascii="Times New Roman" w:hAnsi="Times New Roman" w:cs="Times New Roman"/>
          <w:b/>
          <w:sz w:val="24"/>
          <w:szCs w:val="24"/>
        </w:rPr>
      </w:pPr>
      <w:r w:rsidRPr="0074322C">
        <w:rPr>
          <w:rFonts w:ascii="Times New Roman" w:hAnsi="Times New Roman" w:cs="Times New Roman"/>
          <w:b/>
          <w:sz w:val="24"/>
          <w:szCs w:val="24"/>
        </w:rPr>
        <w:t>Statistical analysis</w:t>
      </w:r>
    </w:p>
    <w:p w:rsidR="003B1052" w:rsidRDefault="003B1052" w:rsidP="0074322C">
      <w:pPr>
        <w:autoSpaceDE w:val="0"/>
        <w:autoSpaceDN w:val="0"/>
        <w:adjustRightInd w:val="0"/>
        <w:spacing w:after="0" w:line="480" w:lineRule="auto"/>
        <w:ind w:firstLine="720"/>
        <w:jc w:val="both"/>
        <w:rPr>
          <w:rFonts w:ascii="Times New Roman" w:hAnsi="Times New Roman" w:cs="Times New Roman"/>
          <w:sz w:val="24"/>
          <w:szCs w:val="24"/>
        </w:rPr>
      </w:pPr>
    </w:p>
    <w:p w:rsidR="006F60C2" w:rsidRPr="0074322C" w:rsidRDefault="006F60C2" w:rsidP="0074322C">
      <w:pPr>
        <w:autoSpaceDE w:val="0"/>
        <w:autoSpaceDN w:val="0"/>
        <w:adjustRightInd w:val="0"/>
        <w:spacing w:after="0" w:line="480" w:lineRule="auto"/>
        <w:ind w:firstLine="720"/>
        <w:jc w:val="both"/>
        <w:rPr>
          <w:rFonts w:ascii="Times New Roman" w:eastAsiaTheme="minorHAnsi" w:hAnsi="Times New Roman" w:cs="Times New Roman"/>
          <w:sz w:val="24"/>
          <w:szCs w:val="24"/>
        </w:rPr>
      </w:pPr>
      <w:r w:rsidRPr="0074322C">
        <w:rPr>
          <w:rFonts w:ascii="Times New Roman" w:hAnsi="Times New Roman" w:cs="Times New Roman"/>
          <w:sz w:val="24"/>
          <w:szCs w:val="24"/>
        </w:rPr>
        <w:t>The results were presented as mean</w:t>
      </w:r>
      <w:r w:rsidR="00145E39" w:rsidRPr="0074322C">
        <w:rPr>
          <w:rFonts w:ascii="Times New Roman" w:hAnsi="Times New Roman" w:cs="Times New Roman"/>
          <w:sz w:val="24"/>
          <w:szCs w:val="24"/>
          <w:u w:val="single"/>
        </w:rPr>
        <w:t>+</w:t>
      </w:r>
      <w:r w:rsidRPr="0074322C">
        <w:rPr>
          <w:rFonts w:ascii="Times New Roman" w:hAnsi="Times New Roman" w:cs="Times New Roman"/>
          <w:sz w:val="24"/>
          <w:szCs w:val="24"/>
        </w:rPr>
        <w:t>S</w:t>
      </w:r>
      <w:r w:rsidR="00145E39" w:rsidRPr="0074322C">
        <w:rPr>
          <w:rFonts w:ascii="Times New Roman" w:hAnsi="Times New Roman" w:cs="Times New Roman"/>
          <w:sz w:val="24"/>
          <w:szCs w:val="24"/>
        </w:rPr>
        <w:t>E</w:t>
      </w:r>
      <w:r w:rsidRPr="0074322C">
        <w:rPr>
          <w:rFonts w:ascii="Times New Roman" w:hAnsi="Times New Roman" w:cs="Times New Roman"/>
          <w:sz w:val="24"/>
          <w:szCs w:val="24"/>
        </w:rPr>
        <w:t>, and differences were analyzed using the SAS/PROC GLM software (SAS</w:t>
      </w:r>
      <w:r w:rsidR="00145E39" w:rsidRPr="0074322C">
        <w:rPr>
          <w:rFonts w:ascii="Times New Roman" w:hAnsi="Times New Roman" w:cs="Times New Roman"/>
          <w:sz w:val="24"/>
          <w:szCs w:val="24"/>
        </w:rPr>
        <w:t xml:space="preserve"> </w:t>
      </w:r>
      <w:r w:rsidRPr="0074322C">
        <w:rPr>
          <w:rFonts w:ascii="Times New Roman" w:hAnsi="Times New Roman" w:cs="Times New Roman"/>
          <w:sz w:val="24"/>
          <w:szCs w:val="24"/>
        </w:rPr>
        <w:t>version 9.1; SAS Institute Inc., USA). Statistical significance</w:t>
      </w:r>
      <w:r w:rsidR="00145E39" w:rsidRPr="0074322C">
        <w:rPr>
          <w:rFonts w:ascii="Times New Roman" w:hAnsi="Times New Roman" w:cs="Times New Roman"/>
          <w:sz w:val="24"/>
          <w:szCs w:val="24"/>
        </w:rPr>
        <w:t xml:space="preserve"> </w:t>
      </w:r>
      <w:r w:rsidRPr="0074322C">
        <w:rPr>
          <w:rFonts w:ascii="Times New Roman" w:hAnsi="Times New Roman" w:cs="Times New Roman"/>
          <w:sz w:val="24"/>
          <w:szCs w:val="24"/>
        </w:rPr>
        <w:t>was assumed at p&lt;0.05</w:t>
      </w:r>
      <w:r w:rsidR="00145E39" w:rsidRPr="0074322C">
        <w:rPr>
          <w:rFonts w:ascii="Times New Roman" w:hAnsi="Times New Roman" w:cs="Times New Roman"/>
          <w:sz w:val="24"/>
          <w:szCs w:val="24"/>
        </w:rPr>
        <w:t>.</w:t>
      </w:r>
    </w:p>
    <w:p w:rsidR="006C4256" w:rsidRPr="0074322C" w:rsidRDefault="003B1052" w:rsidP="003B1052">
      <w:pPr>
        <w:spacing w:line="480" w:lineRule="auto"/>
        <w:jc w:val="center"/>
        <w:rPr>
          <w:rFonts w:ascii="Times New Roman" w:eastAsiaTheme="minorHAnsi" w:hAnsi="Times New Roman" w:cs="Times New Roman"/>
          <w:b/>
          <w:sz w:val="24"/>
          <w:szCs w:val="24"/>
        </w:rPr>
      </w:pPr>
      <w:r w:rsidRPr="0074322C">
        <w:rPr>
          <w:rFonts w:ascii="Times New Roman" w:eastAsiaTheme="minorHAnsi" w:hAnsi="Times New Roman" w:cs="Times New Roman"/>
          <w:b/>
          <w:sz w:val="24"/>
          <w:szCs w:val="24"/>
        </w:rPr>
        <w:t>RESULTS AND DISCUSSION</w:t>
      </w:r>
    </w:p>
    <w:p w:rsidR="003B1052" w:rsidRDefault="006C4256" w:rsidP="0074322C">
      <w:pPr>
        <w:spacing w:after="0" w:line="480" w:lineRule="auto"/>
        <w:jc w:val="both"/>
        <w:rPr>
          <w:rFonts w:ascii="Times New Roman" w:hAnsi="Times New Roman" w:cs="Times New Roman"/>
          <w:b/>
          <w:bCs/>
          <w:sz w:val="24"/>
          <w:szCs w:val="24"/>
        </w:rPr>
      </w:pPr>
      <w:r w:rsidRPr="0074322C">
        <w:rPr>
          <w:rFonts w:ascii="Times New Roman" w:hAnsi="Times New Roman" w:cs="Times New Roman"/>
          <w:b/>
          <w:bCs/>
          <w:sz w:val="24"/>
          <w:szCs w:val="24"/>
        </w:rPr>
        <w:t xml:space="preserve"> </w:t>
      </w:r>
    </w:p>
    <w:p w:rsidR="006C4256" w:rsidRPr="0074322C" w:rsidRDefault="006C4256" w:rsidP="0074322C">
      <w:pPr>
        <w:spacing w:after="0" w:line="480" w:lineRule="auto"/>
        <w:jc w:val="both"/>
        <w:rPr>
          <w:rFonts w:ascii="Times New Roman" w:hAnsi="Times New Roman" w:cs="Times New Roman"/>
          <w:b/>
          <w:bCs/>
          <w:sz w:val="24"/>
          <w:szCs w:val="24"/>
        </w:rPr>
      </w:pPr>
      <w:r w:rsidRPr="0074322C">
        <w:rPr>
          <w:rFonts w:ascii="Times New Roman" w:hAnsi="Times New Roman" w:cs="Times New Roman"/>
          <w:b/>
          <w:bCs/>
          <w:sz w:val="24"/>
          <w:szCs w:val="24"/>
        </w:rPr>
        <w:t>Optimization of incubation temperature</w:t>
      </w:r>
    </w:p>
    <w:p w:rsidR="003B1052" w:rsidRDefault="003B1052" w:rsidP="0074322C">
      <w:pPr>
        <w:spacing w:after="0" w:line="480" w:lineRule="auto"/>
        <w:ind w:firstLine="630"/>
        <w:jc w:val="both"/>
        <w:rPr>
          <w:rFonts w:ascii="Times New Roman" w:hAnsi="Times New Roman" w:cs="Times New Roman"/>
          <w:sz w:val="24"/>
          <w:szCs w:val="24"/>
        </w:rPr>
      </w:pPr>
    </w:p>
    <w:p w:rsidR="008641BC" w:rsidRPr="0074322C" w:rsidRDefault="006C4256" w:rsidP="0074322C">
      <w:pPr>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sz w:val="24"/>
          <w:szCs w:val="24"/>
        </w:rPr>
        <w:t>The hydrolysates of GMWP using trypsin enzymes was done at different incubation temperatures from 30</w:t>
      </w:r>
      <w:r w:rsidR="008641BC"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to 70 </w:t>
      </w:r>
      <w:r w:rsidRPr="0074322C">
        <w:rPr>
          <w:rFonts w:ascii="Times New Roman" w:hAnsi="Times New Roman" w:cs="Times New Roman"/>
          <w:sz w:val="24"/>
          <w:szCs w:val="24"/>
          <w:vertAlign w:val="superscript"/>
        </w:rPr>
        <w:t>0</w:t>
      </w:r>
      <w:r w:rsidRPr="0074322C">
        <w:rPr>
          <w:rFonts w:ascii="Times New Roman" w:hAnsi="Times New Roman" w:cs="Times New Roman"/>
          <w:sz w:val="24"/>
          <w:szCs w:val="24"/>
        </w:rPr>
        <w:t>C,</w:t>
      </w:r>
      <w:r w:rsidR="008641BC"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and hydrolysis were compared with the standard molecular weight marker using SDS-PAGE analysis (Fig. </w:t>
      </w:r>
      <w:r w:rsidR="00593ECF" w:rsidRPr="0074322C">
        <w:rPr>
          <w:rFonts w:ascii="Times New Roman" w:hAnsi="Times New Roman" w:cs="Times New Roman"/>
          <w:sz w:val="24"/>
          <w:szCs w:val="24"/>
        </w:rPr>
        <w:t>1A</w:t>
      </w:r>
      <w:r w:rsidRPr="0074322C">
        <w:rPr>
          <w:rFonts w:ascii="Times New Roman" w:hAnsi="Times New Roman" w:cs="Times New Roman"/>
          <w:sz w:val="24"/>
          <w:szCs w:val="24"/>
        </w:rPr>
        <w:t>).</w:t>
      </w:r>
      <w:r w:rsidRPr="0074322C">
        <w:rPr>
          <w:rFonts w:ascii="Times New Roman" w:hAnsi="Times New Roman" w:cs="Times New Roman"/>
          <w:bCs/>
          <w:sz w:val="24"/>
          <w:szCs w:val="24"/>
        </w:rPr>
        <w:t xml:space="preserve"> </w:t>
      </w:r>
    </w:p>
    <w:p w:rsidR="00593ECF" w:rsidRDefault="00593ECF" w:rsidP="0074322C">
      <w:pPr>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bCs/>
          <w:sz w:val="24"/>
          <w:szCs w:val="24"/>
        </w:rPr>
        <w:lastRenderedPageBreak/>
        <w:t xml:space="preserve">SDS-PASE showed that the hydrolysation of GMWP with trypsin enzyme was increased as the incubation temperature increased from 40 to 60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 xml:space="preserve">C. These findings were further confirmed with NPN method (Fig. 1B). The non protein nitrogen was recovered up to 5.6 mg/ml at 40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 xml:space="preserve">C, which was statistically similar to 50 and 60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 xml:space="preserve">C   Fig 1A and 1B revealed that the hydrolysation of GMWP was optimum at 40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 xml:space="preserve">C with trypsin enzyme. Wang </w:t>
      </w:r>
      <w:r w:rsidRPr="0074322C">
        <w:rPr>
          <w:rFonts w:ascii="Times New Roman" w:hAnsi="Times New Roman" w:cs="Times New Roman"/>
          <w:bCs/>
          <w:i/>
          <w:sz w:val="24"/>
          <w:szCs w:val="24"/>
        </w:rPr>
        <w:t>et al</w:t>
      </w:r>
      <w:r w:rsidRPr="0074322C">
        <w:rPr>
          <w:rFonts w:ascii="Times New Roman" w:hAnsi="Times New Roman" w:cs="Times New Roman"/>
          <w:bCs/>
          <w:sz w:val="24"/>
          <w:szCs w:val="24"/>
        </w:rPr>
        <w:t xml:space="preserve">. (2020) also followed 40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C as optimum temperature for hydrolysation of camel and cow whey protein with trypsin.</w:t>
      </w:r>
    </w:p>
    <w:p w:rsidR="003B1052" w:rsidRPr="0074322C" w:rsidRDefault="003B1052" w:rsidP="0074322C">
      <w:pPr>
        <w:spacing w:after="0" w:line="480" w:lineRule="auto"/>
        <w:ind w:firstLine="630"/>
        <w:jc w:val="both"/>
        <w:rPr>
          <w:rFonts w:ascii="Times New Roman" w:hAnsi="Times New Roman" w:cs="Times New Roman"/>
          <w:bCs/>
          <w:sz w:val="24"/>
          <w:szCs w:val="24"/>
        </w:rPr>
      </w:pPr>
    </w:p>
    <w:tbl>
      <w:tblPr>
        <w:tblStyle w:val="TableGrid"/>
        <w:tblW w:w="0" w:type="auto"/>
        <w:tblLook w:val="04A0"/>
      </w:tblPr>
      <w:tblGrid>
        <w:gridCol w:w="4641"/>
        <w:gridCol w:w="4935"/>
      </w:tblGrid>
      <w:tr w:rsidR="00D71206" w:rsidRPr="0074322C" w:rsidTr="0073664D">
        <w:tc>
          <w:tcPr>
            <w:tcW w:w="4641" w:type="dxa"/>
          </w:tcPr>
          <w:p w:rsidR="00D71206" w:rsidRPr="0074322C" w:rsidRDefault="00D71206" w:rsidP="0074322C">
            <w:pPr>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drawing>
                <wp:inline distT="0" distB="0" distL="0" distR="0">
                  <wp:extent cx="2819153" cy="2047257"/>
                  <wp:effectExtent l="19050" t="19050" r="19297" b="10143"/>
                  <wp:docPr id="1" name="Picture 10"/>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6"/>
                          <a:srcRect/>
                          <a:stretch>
                            <a:fillRect/>
                          </a:stretch>
                        </pic:blipFill>
                        <pic:spPr bwMode="auto">
                          <a:xfrm>
                            <a:off x="0" y="0"/>
                            <a:ext cx="2825238" cy="2051676"/>
                          </a:xfrm>
                          <a:prstGeom prst="rect">
                            <a:avLst/>
                          </a:prstGeom>
                          <a:noFill/>
                          <a:ln w="9525">
                            <a:solidFill>
                              <a:srgbClr val="0070C0"/>
                            </a:solidFill>
                            <a:miter lim="800000"/>
                            <a:headEnd/>
                            <a:tailEnd/>
                          </a:ln>
                        </pic:spPr>
                      </pic:pic>
                    </a:graphicData>
                  </a:graphic>
                </wp:inline>
              </w:drawing>
            </w:r>
          </w:p>
        </w:tc>
        <w:tc>
          <w:tcPr>
            <w:tcW w:w="4935" w:type="dxa"/>
          </w:tcPr>
          <w:p w:rsidR="00D71206" w:rsidRPr="0074322C" w:rsidRDefault="00D71206" w:rsidP="0074322C">
            <w:pPr>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drawing>
                <wp:inline distT="0" distB="0" distL="0" distR="0">
                  <wp:extent cx="2985407" cy="2043447"/>
                  <wp:effectExtent l="19050" t="0" r="43543" b="0"/>
                  <wp:docPr id="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D71206" w:rsidRPr="0074322C" w:rsidTr="0073664D">
        <w:tc>
          <w:tcPr>
            <w:tcW w:w="4641" w:type="dxa"/>
          </w:tcPr>
          <w:p w:rsidR="00D71206" w:rsidRPr="0074322C" w:rsidRDefault="00D71206" w:rsidP="005C4E35">
            <w:pPr>
              <w:rPr>
                <w:rFonts w:ascii="Times New Roman" w:hAnsi="Times New Roman" w:cs="Times New Roman"/>
                <w:b/>
                <w:bCs/>
                <w:sz w:val="24"/>
                <w:szCs w:val="24"/>
              </w:rPr>
            </w:pPr>
            <w:r w:rsidRPr="0074322C">
              <w:rPr>
                <w:rFonts w:ascii="Times New Roman" w:hAnsi="Times New Roman" w:cs="Times New Roman"/>
                <w:b/>
                <w:bCs/>
                <w:sz w:val="24"/>
                <w:szCs w:val="24"/>
              </w:rPr>
              <w:t>Fig. 1</w:t>
            </w:r>
            <w:r w:rsidR="00BA171B" w:rsidRPr="0074322C">
              <w:rPr>
                <w:rFonts w:ascii="Times New Roman" w:hAnsi="Times New Roman" w:cs="Times New Roman"/>
                <w:b/>
                <w:bCs/>
                <w:sz w:val="24"/>
                <w:szCs w:val="24"/>
              </w:rPr>
              <w:t>A</w:t>
            </w:r>
            <w:r w:rsidRPr="0074322C">
              <w:rPr>
                <w:rFonts w:ascii="Times New Roman" w:hAnsi="Times New Roman" w:cs="Times New Roman"/>
                <w:b/>
                <w:bCs/>
                <w:sz w:val="24"/>
                <w:szCs w:val="24"/>
              </w:rPr>
              <w:t>: T-I= Trypsin</w:t>
            </w:r>
            <w:r w:rsidR="00296ADB" w:rsidRPr="0074322C">
              <w:rPr>
                <w:rFonts w:ascii="Times New Roman" w:hAnsi="Times New Roman" w:cs="Times New Roman"/>
                <w:b/>
                <w:bCs/>
                <w:sz w:val="24"/>
                <w:szCs w:val="24"/>
              </w:rPr>
              <w:t>,</w:t>
            </w:r>
            <w:r w:rsidRPr="0074322C">
              <w:rPr>
                <w:rFonts w:ascii="Times New Roman" w:hAnsi="Times New Roman" w:cs="Times New Roman"/>
                <w:b/>
                <w:bCs/>
                <w:sz w:val="24"/>
                <w:szCs w:val="24"/>
              </w:rPr>
              <w:t xml:space="preserve"> SDS-PAGE for different </w:t>
            </w:r>
            <w:r w:rsidR="002B69EE" w:rsidRPr="0074322C">
              <w:rPr>
                <w:rFonts w:ascii="Times New Roman" w:hAnsi="Times New Roman" w:cs="Times New Roman"/>
                <w:b/>
                <w:bCs/>
                <w:sz w:val="24"/>
                <w:szCs w:val="24"/>
              </w:rPr>
              <w:t>incubation temperature</w:t>
            </w:r>
            <w:r w:rsidRPr="0074322C">
              <w:rPr>
                <w:rFonts w:ascii="Times New Roman" w:hAnsi="Times New Roman" w:cs="Times New Roman"/>
                <w:b/>
                <w:bCs/>
                <w:sz w:val="24"/>
                <w:szCs w:val="24"/>
              </w:rPr>
              <w:t>, M= Protein    molecular marker</w:t>
            </w:r>
            <w:r w:rsidR="00296ADB" w:rsidRPr="0074322C">
              <w:rPr>
                <w:rFonts w:ascii="Times New Roman" w:hAnsi="Times New Roman" w:cs="Times New Roman"/>
                <w:b/>
                <w:bCs/>
                <w:sz w:val="24"/>
                <w:szCs w:val="24"/>
              </w:rPr>
              <w:t>,</w:t>
            </w:r>
            <w:r w:rsidRPr="0074322C">
              <w:rPr>
                <w:rFonts w:ascii="Times New Roman" w:hAnsi="Times New Roman" w:cs="Times New Roman"/>
                <w:b/>
                <w:bCs/>
                <w:sz w:val="24"/>
                <w:szCs w:val="24"/>
              </w:rPr>
              <w:t xml:space="preserve"> GMWP=goat milk whey        protein.</w:t>
            </w:r>
          </w:p>
        </w:tc>
        <w:tc>
          <w:tcPr>
            <w:tcW w:w="4935" w:type="dxa"/>
          </w:tcPr>
          <w:p w:rsidR="00D71206" w:rsidRPr="0074322C" w:rsidRDefault="00BA171B" w:rsidP="005C4E35">
            <w:pPr>
              <w:rPr>
                <w:rFonts w:ascii="Times New Roman" w:hAnsi="Times New Roman" w:cs="Times New Roman"/>
                <w:b/>
                <w:bCs/>
                <w:sz w:val="24"/>
                <w:szCs w:val="24"/>
              </w:rPr>
            </w:pPr>
            <w:r w:rsidRPr="0074322C">
              <w:rPr>
                <w:rFonts w:ascii="Times New Roman" w:hAnsi="Times New Roman" w:cs="Times New Roman"/>
                <w:b/>
                <w:bCs/>
                <w:sz w:val="24"/>
                <w:szCs w:val="24"/>
              </w:rPr>
              <w:t>Fig. 1B</w:t>
            </w:r>
            <w:r w:rsidR="00D71206" w:rsidRPr="0074322C">
              <w:rPr>
                <w:rFonts w:ascii="Times New Roman" w:hAnsi="Times New Roman" w:cs="Times New Roman"/>
                <w:b/>
                <w:bCs/>
                <w:sz w:val="24"/>
                <w:szCs w:val="24"/>
              </w:rPr>
              <w:t>: Trypsin NPN (mg/ml) for different</w:t>
            </w:r>
            <w:r w:rsidR="000C6F89" w:rsidRPr="0074322C">
              <w:rPr>
                <w:rFonts w:ascii="Times New Roman" w:hAnsi="Times New Roman" w:cs="Times New Roman"/>
                <w:b/>
                <w:bCs/>
                <w:sz w:val="24"/>
                <w:szCs w:val="24"/>
              </w:rPr>
              <w:t xml:space="preserve">               incubation temperature, </w:t>
            </w:r>
            <w:r w:rsidR="002B69EE" w:rsidRPr="0074322C">
              <w:rPr>
                <w:rFonts w:ascii="Times New Roman" w:hAnsi="Times New Roman" w:cs="Times New Roman"/>
                <w:b/>
                <w:bCs/>
                <w:sz w:val="24"/>
                <w:szCs w:val="24"/>
              </w:rPr>
              <w:t>different small letters</w:t>
            </w:r>
            <w:r w:rsidR="000C6F89" w:rsidRPr="0074322C">
              <w:rPr>
                <w:rFonts w:ascii="Times New Roman" w:hAnsi="Times New Roman" w:cs="Times New Roman"/>
                <w:b/>
                <w:bCs/>
                <w:sz w:val="24"/>
                <w:szCs w:val="24"/>
              </w:rPr>
              <w:t xml:space="preserve"> differ significantly (&lt;0.05).</w:t>
            </w:r>
          </w:p>
        </w:tc>
      </w:tr>
    </w:tbl>
    <w:p w:rsidR="0073664D" w:rsidRPr="0074322C" w:rsidRDefault="0073664D" w:rsidP="0074322C">
      <w:pPr>
        <w:spacing w:after="0" w:line="480" w:lineRule="auto"/>
        <w:jc w:val="both"/>
        <w:rPr>
          <w:rFonts w:ascii="Times New Roman" w:hAnsi="Times New Roman" w:cs="Times New Roman"/>
          <w:b/>
          <w:bCs/>
          <w:sz w:val="24"/>
          <w:szCs w:val="24"/>
        </w:rPr>
      </w:pPr>
    </w:p>
    <w:p w:rsidR="006C4256" w:rsidRPr="0074322C" w:rsidRDefault="006C4256" w:rsidP="0074322C">
      <w:pPr>
        <w:spacing w:after="0" w:line="480" w:lineRule="auto"/>
        <w:jc w:val="both"/>
        <w:rPr>
          <w:rFonts w:ascii="Times New Roman" w:hAnsi="Times New Roman" w:cs="Times New Roman"/>
          <w:b/>
          <w:bCs/>
          <w:sz w:val="24"/>
          <w:szCs w:val="24"/>
        </w:rPr>
      </w:pPr>
      <w:r w:rsidRPr="0074322C">
        <w:rPr>
          <w:rFonts w:ascii="Times New Roman" w:hAnsi="Times New Roman" w:cs="Times New Roman"/>
          <w:b/>
          <w:bCs/>
          <w:sz w:val="24"/>
          <w:szCs w:val="24"/>
        </w:rPr>
        <w:t>Optimization of incubation time</w:t>
      </w:r>
    </w:p>
    <w:p w:rsidR="0005043A" w:rsidRPr="0074322C" w:rsidRDefault="006C4256" w:rsidP="0074322C">
      <w:pPr>
        <w:autoSpaceDE w:val="0"/>
        <w:autoSpaceDN w:val="0"/>
        <w:adjustRightInd w:val="0"/>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sz w:val="24"/>
          <w:szCs w:val="24"/>
        </w:rPr>
        <w:t xml:space="preserve">The hydrolysates of GMWP using trypsin enzyme was done at different incubation times from 30 to 300 min, and hydrolysis were compared with the standard molecular weight marker using SDS-PAGE analysis (Fig. </w:t>
      </w:r>
      <w:r w:rsidR="00593ECF" w:rsidRPr="0074322C">
        <w:rPr>
          <w:rFonts w:ascii="Times New Roman" w:hAnsi="Times New Roman" w:cs="Times New Roman"/>
          <w:sz w:val="24"/>
          <w:szCs w:val="24"/>
        </w:rPr>
        <w:t>2A</w:t>
      </w:r>
      <w:r w:rsidRPr="0074322C">
        <w:rPr>
          <w:rFonts w:ascii="Times New Roman" w:hAnsi="Times New Roman" w:cs="Times New Roman"/>
          <w:sz w:val="24"/>
          <w:szCs w:val="24"/>
        </w:rPr>
        <w:t>).</w:t>
      </w:r>
      <w:r w:rsidRPr="0074322C">
        <w:rPr>
          <w:rFonts w:ascii="Times New Roman" w:hAnsi="Times New Roman" w:cs="Times New Roman"/>
          <w:bCs/>
          <w:sz w:val="24"/>
          <w:szCs w:val="24"/>
        </w:rPr>
        <w:t xml:space="preserve"> </w:t>
      </w:r>
    </w:p>
    <w:tbl>
      <w:tblPr>
        <w:tblStyle w:val="TableGrid"/>
        <w:tblW w:w="0" w:type="auto"/>
        <w:tblLook w:val="04A0"/>
      </w:tblPr>
      <w:tblGrid>
        <w:gridCol w:w="4877"/>
        <w:gridCol w:w="4699"/>
      </w:tblGrid>
      <w:tr w:rsidR="00574ACD" w:rsidRPr="0074322C" w:rsidTr="00001ACA">
        <w:tc>
          <w:tcPr>
            <w:tcW w:w="4892" w:type="dxa"/>
          </w:tcPr>
          <w:p w:rsidR="00574ACD" w:rsidRPr="0074322C" w:rsidRDefault="00574ACD" w:rsidP="0074322C">
            <w:pPr>
              <w:autoSpaceDE w:val="0"/>
              <w:autoSpaceDN w:val="0"/>
              <w:adjustRightInd w:val="0"/>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lastRenderedPageBreak/>
              <w:drawing>
                <wp:inline distT="0" distB="0" distL="0" distR="0">
                  <wp:extent cx="2946350" cy="1715327"/>
                  <wp:effectExtent l="19050" t="19050" r="25450" b="18223"/>
                  <wp:docPr id="3" name="Picture 13" descr="H:\Apoorva PhD-Thesis\HPLC\SDS Images\T-II.png"/>
                  <wp:cNvGraphicFramePr/>
                  <a:graphic xmlns:a="http://schemas.openxmlformats.org/drawingml/2006/main">
                    <a:graphicData uri="http://schemas.openxmlformats.org/drawingml/2006/picture">
                      <pic:pic xmlns:pic="http://schemas.openxmlformats.org/drawingml/2006/picture">
                        <pic:nvPicPr>
                          <pic:cNvPr id="3" name="Picture 2" descr="H:\Apoorva PhD-Thesis\HPLC\SDS Images\T-II.png"/>
                          <pic:cNvPicPr/>
                        </pic:nvPicPr>
                        <pic:blipFill>
                          <a:blip r:embed="rId8"/>
                          <a:srcRect/>
                          <a:stretch>
                            <a:fillRect/>
                          </a:stretch>
                        </pic:blipFill>
                        <pic:spPr bwMode="auto">
                          <a:xfrm>
                            <a:off x="0" y="0"/>
                            <a:ext cx="2946350" cy="1715327"/>
                          </a:xfrm>
                          <a:prstGeom prst="rect">
                            <a:avLst/>
                          </a:prstGeom>
                          <a:noFill/>
                          <a:ln w="9525">
                            <a:solidFill>
                              <a:schemeClr val="accent1"/>
                            </a:solidFill>
                            <a:miter lim="800000"/>
                            <a:headEnd/>
                            <a:tailEnd/>
                          </a:ln>
                        </pic:spPr>
                      </pic:pic>
                    </a:graphicData>
                  </a:graphic>
                </wp:inline>
              </w:drawing>
            </w:r>
          </w:p>
        </w:tc>
        <w:tc>
          <w:tcPr>
            <w:tcW w:w="4684" w:type="dxa"/>
          </w:tcPr>
          <w:p w:rsidR="00574ACD" w:rsidRPr="0074322C" w:rsidRDefault="00574ACD" w:rsidP="0074322C">
            <w:pPr>
              <w:autoSpaceDE w:val="0"/>
              <w:autoSpaceDN w:val="0"/>
              <w:adjustRightInd w:val="0"/>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drawing>
                <wp:inline distT="0" distB="0" distL="0" distR="0">
                  <wp:extent cx="2840149" cy="1850065"/>
                  <wp:effectExtent l="19050" t="0" r="17351" b="0"/>
                  <wp:docPr id="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74ACD" w:rsidRPr="0074322C" w:rsidTr="00001ACA">
        <w:tc>
          <w:tcPr>
            <w:tcW w:w="4892" w:type="dxa"/>
          </w:tcPr>
          <w:p w:rsidR="00574ACD" w:rsidRPr="0074322C" w:rsidRDefault="00E22046"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 xml:space="preserve">Fig. 2A: T-II= Trypsin, SDS-PAGE for different </w:t>
            </w:r>
            <w:r w:rsidR="00E16A1D" w:rsidRPr="0074322C">
              <w:rPr>
                <w:rFonts w:ascii="Times New Roman" w:hAnsi="Times New Roman" w:cs="Times New Roman"/>
                <w:b/>
                <w:bCs/>
                <w:sz w:val="24"/>
                <w:szCs w:val="24"/>
              </w:rPr>
              <w:t>incubation time</w:t>
            </w:r>
            <w:r w:rsidRPr="0074322C">
              <w:rPr>
                <w:rFonts w:ascii="Times New Roman" w:hAnsi="Times New Roman" w:cs="Times New Roman"/>
                <w:b/>
                <w:bCs/>
                <w:sz w:val="24"/>
                <w:szCs w:val="24"/>
              </w:rPr>
              <w:t>, M= Protein    molecular marker, GMWP=goat milk whey        protein.</w:t>
            </w:r>
          </w:p>
        </w:tc>
        <w:tc>
          <w:tcPr>
            <w:tcW w:w="4684" w:type="dxa"/>
          </w:tcPr>
          <w:p w:rsidR="00574ACD" w:rsidRPr="0074322C" w:rsidRDefault="00001ACA"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Fig. 2B: NPN (mg/ml) for different               incubation t</w:t>
            </w:r>
            <w:r w:rsidR="0073664D" w:rsidRPr="0074322C">
              <w:rPr>
                <w:rFonts w:ascii="Times New Roman" w:hAnsi="Times New Roman" w:cs="Times New Roman"/>
                <w:b/>
                <w:bCs/>
                <w:sz w:val="24"/>
                <w:szCs w:val="24"/>
              </w:rPr>
              <w:t>ime</w:t>
            </w:r>
            <w:r w:rsidRPr="0074322C">
              <w:rPr>
                <w:rFonts w:ascii="Times New Roman" w:hAnsi="Times New Roman" w:cs="Times New Roman"/>
                <w:b/>
                <w:bCs/>
                <w:sz w:val="24"/>
                <w:szCs w:val="24"/>
              </w:rPr>
              <w:t>, different small letters differ significantly (&lt;0.05).</w:t>
            </w:r>
          </w:p>
        </w:tc>
      </w:tr>
    </w:tbl>
    <w:p w:rsidR="0005043A" w:rsidRPr="0074322C" w:rsidRDefault="0005043A" w:rsidP="0074322C">
      <w:pPr>
        <w:autoSpaceDE w:val="0"/>
        <w:autoSpaceDN w:val="0"/>
        <w:adjustRightInd w:val="0"/>
        <w:spacing w:after="0" w:line="480" w:lineRule="auto"/>
        <w:ind w:firstLine="630"/>
        <w:jc w:val="both"/>
        <w:rPr>
          <w:rFonts w:ascii="Times New Roman" w:hAnsi="Times New Roman" w:cs="Times New Roman"/>
          <w:bCs/>
          <w:sz w:val="24"/>
          <w:szCs w:val="24"/>
        </w:rPr>
      </w:pPr>
    </w:p>
    <w:p w:rsidR="006C4256" w:rsidRPr="0074322C" w:rsidRDefault="006C4256" w:rsidP="0074322C">
      <w:pPr>
        <w:autoSpaceDE w:val="0"/>
        <w:autoSpaceDN w:val="0"/>
        <w:adjustRightInd w:val="0"/>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bCs/>
          <w:sz w:val="24"/>
          <w:szCs w:val="24"/>
        </w:rPr>
        <w:t xml:space="preserve">SDS-PASE showed that the hydrolysation of GMWP with trypsin enzyme was increased as the incubation time increased up to 180 min. These findings were further confirmed with NPN method (Fig. </w:t>
      </w:r>
      <w:r w:rsidR="0073664D" w:rsidRPr="0074322C">
        <w:rPr>
          <w:rFonts w:ascii="Times New Roman" w:hAnsi="Times New Roman" w:cs="Times New Roman"/>
          <w:bCs/>
          <w:sz w:val="24"/>
          <w:szCs w:val="24"/>
        </w:rPr>
        <w:t>2B</w:t>
      </w:r>
      <w:r w:rsidRPr="0074322C">
        <w:rPr>
          <w:rFonts w:ascii="Times New Roman" w:hAnsi="Times New Roman" w:cs="Times New Roman"/>
          <w:bCs/>
          <w:sz w:val="24"/>
          <w:szCs w:val="24"/>
        </w:rPr>
        <w:t xml:space="preserve">). The non protein nitrogen was recovered up to 5.5 mg/ml at 180min. Fig </w:t>
      </w:r>
      <w:r w:rsidR="0073664D" w:rsidRPr="0074322C">
        <w:rPr>
          <w:rFonts w:ascii="Times New Roman" w:hAnsi="Times New Roman" w:cs="Times New Roman"/>
          <w:bCs/>
          <w:sz w:val="24"/>
          <w:szCs w:val="24"/>
        </w:rPr>
        <w:t>2A</w:t>
      </w:r>
      <w:r w:rsidRPr="0074322C">
        <w:rPr>
          <w:rFonts w:ascii="Times New Roman" w:hAnsi="Times New Roman" w:cs="Times New Roman"/>
          <w:bCs/>
          <w:sz w:val="24"/>
          <w:szCs w:val="24"/>
        </w:rPr>
        <w:t xml:space="preserve"> and </w:t>
      </w:r>
      <w:r w:rsidR="0073664D" w:rsidRPr="0074322C">
        <w:rPr>
          <w:rFonts w:ascii="Times New Roman" w:hAnsi="Times New Roman" w:cs="Times New Roman"/>
          <w:bCs/>
          <w:sz w:val="24"/>
          <w:szCs w:val="24"/>
        </w:rPr>
        <w:t>2B</w:t>
      </w:r>
      <w:r w:rsidRPr="0074322C">
        <w:rPr>
          <w:rFonts w:ascii="Times New Roman" w:hAnsi="Times New Roman" w:cs="Times New Roman"/>
          <w:bCs/>
          <w:sz w:val="24"/>
          <w:szCs w:val="24"/>
        </w:rPr>
        <w:t xml:space="preserve"> revealed that the hydrolysation of GMWP did not increase significantly (&lt;0.05) after 180 min of incubation time with trypsin enzyme. Wang </w:t>
      </w:r>
      <w:r w:rsidRPr="0074322C">
        <w:rPr>
          <w:rFonts w:ascii="Times New Roman" w:hAnsi="Times New Roman" w:cs="Times New Roman"/>
          <w:bCs/>
          <w:i/>
          <w:sz w:val="24"/>
          <w:szCs w:val="24"/>
        </w:rPr>
        <w:t>et al</w:t>
      </w:r>
      <w:r w:rsidRPr="0074322C">
        <w:rPr>
          <w:rFonts w:ascii="Times New Roman" w:hAnsi="Times New Roman" w:cs="Times New Roman"/>
          <w:bCs/>
          <w:sz w:val="24"/>
          <w:szCs w:val="24"/>
        </w:rPr>
        <w:t>. (2020) also reported</w:t>
      </w:r>
      <w:r w:rsidRPr="0074322C">
        <w:rPr>
          <w:rFonts w:ascii="Times New Roman" w:hAnsi="Times New Roman" w:cs="Times New Roman"/>
          <w:sz w:val="24"/>
          <w:szCs w:val="24"/>
        </w:rPr>
        <w:t xml:space="preserve"> that camel milk whey protein were</w:t>
      </w:r>
      <w:r w:rsidR="0073664D" w:rsidRPr="0074322C">
        <w:rPr>
          <w:rFonts w:ascii="Times New Roman" w:hAnsi="Times New Roman" w:cs="Times New Roman"/>
          <w:sz w:val="24"/>
          <w:szCs w:val="24"/>
        </w:rPr>
        <w:t xml:space="preserve"> </w:t>
      </w:r>
      <w:r w:rsidRPr="0074322C">
        <w:rPr>
          <w:rFonts w:ascii="Times New Roman" w:hAnsi="Times New Roman" w:cs="Times New Roman"/>
          <w:sz w:val="24"/>
          <w:szCs w:val="24"/>
        </w:rPr>
        <w:t>completely hydrolyzed and digested with trypsin enzyme for 180 min.</w:t>
      </w:r>
    </w:p>
    <w:p w:rsidR="00887B0E" w:rsidRDefault="00887B0E" w:rsidP="0074322C">
      <w:pPr>
        <w:autoSpaceDE w:val="0"/>
        <w:autoSpaceDN w:val="0"/>
        <w:adjustRightInd w:val="0"/>
        <w:spacing w:after="0" w:line="480" w:lineRule="auto"/>
        <w:jc w:val="both"/>
        <w:rPr>
          <w:rFonts w:ascii="Times New Roman" w:hAnsi="Times New Roman" w:cs="Times New Roman"/>
          <w:b/>
          <w:bCs/>
          <w:sz w:val="24"/>
          <w:szCs w:val="24"/>
        </w:rPr>
      </w:pPr>
    </w:p>
    <w:p w:rsidR="006C4256" w:rsidRPr="0074322C" w:rsidRDefault="006C4256" w:rsidP="0074322C">
      <w:pPr>
        <w:autoSpaceDE w:val="0"/>
        <w:autoSpaceDN w:val="0"/>
        <w:adjustRightInd w:val="0"/>
        <w:spacing w:after="0" w:line="480" w:lineRule="auto"/>
        <w:jc w:val="both"/>
        <w:rPr>
          <w:rFonts w:ascii="Times New Roman" w:hAnsi="Times New Roman" w:cs="Times New Roman"/>
          <w:b/>
          <w:bCs/>
          <w:sz w:val="24"/>
          <w:szCs w:val="24"/>
        </w:rPr>
      </w:pPr>
      <w:r w:rsidRPr="0074322C">
        <w:rPr>
          <w:rFonts w:ascii="Times New Roman" w:hAnsi="Times New Roman" w:cs="Times New Roman"/>
          <w:b/>
          <w:bCs/>
          <w:sz w:val="24"/>
          <w:szCs w:val="24"/>
        </w:rPr>
        <w:t>Optimization of incubation enzyme concentration</w:t>
      </w:r>
    </w:p>
    <w:p w:rsidR="0005043A" w:rsidRPr="0074322C" w:rsidRDefault="006C4256" w:rsidP="0074322C">
      <w:pPr>
        <w:pStyle w:val="Default"/>
        <w:spacing w:line="480" w:lineRule="auto"/>
        <w:ind w:firstLine="720"/>
        <w:jc w:val="both"/>
        <w:rPr>
          <w:rFonts w:ascii="Times New Roman" w:hAnsi="Times New Roman" w:cs="Times New Roman"/>
          <w:bCs/>
        </w:rPr>
      </w:pPr>
      <w:r w:rsidRPr="0074322C">
        <w:rPr>
          <w:rFonts w:ascii="Times New Roman" w:hAnsi="Times New Roman" w:cs="Times New Roman"/>
        </w:rPr>
        <w:t>Different enzyme concentrations of trypsin enzyme from 0.25 to 2.0 percent level were used for hydrolysates of GMWP and hydrolysis were compared with the standard molecular weight marker using SDS-PAGE analysis (Fig.</w:t>
      </w:r>
      <w:r w:rsidR="00A729DB" w:rsidRPr="0074322C">
        <w:rPr>
          <w:rFonts w:ascii="Times New Roman" w:hAnsi="Times New Roman" w:cs="Times New Roman"/>
        </w:rPr>
        <w:t>3A</w:t>
      </w:r>
      <w:r w:rsidRPr="0074322C">
        <w:rPr>
          <w:rFonts w:ascii="Times New Roman" w:hAnsi="Times New Roman" w:cs="Times New Roman"/>
        </w:rPr>
        <w:t>).</w:t>
      </w:r>
      <w:r w:rsidRPr="0074322C">
        <w:rPr>
          <w:rFonts w:ascii="Times New Roman" w:hAnsi="Times New Roman" w:cs="Times New Roman"/>
          <w:bCs/>
        </w:rPr>
        <w:t xml:space="preserve"> </w:t>
      </w:r>
    </w:p>
    <w:tbl>
      <w:tblPr>
        <w:tblStyle w:val="TableGrid"/>
        <w:tblW w:w="0" w:type="auto"/>
        <w:tblLook w:val="04A0"/>
      </w:tblPr>
      <w:tblGrid>
        <w:gridCol w:w="5038"/>
        <w:gridCol w:w="4538"/>
      </w:tblGrid>
      <w:tr w:rsidR="00A729DB" w:rsidRPr="0074322C" w:rsidTr="00A729DB">
        <w:tc>
          <w:tcPr>
            <w:tcW w:w="5038" w:type="dxa"/>
          </w:tcPr>
          <w:p w:rsidR="00A729DB" w:rsidRPr="0074322C" w:rsidRDefault="00A729DB" w:rsidP="0074322C">
            <w:pPr>
              <w:pStyle w:val="Default"/>
              <w:spacing w:line="480" w:lineRule="auto"/>
              <w:jc w:val="both"/>
              <w:rPr>
                <w:rFonts w:ascii="Times New Roman" w:hAnsi="Times New Roman" w:cs="Times New Roman"/>
                <w:bCs/>
              </w:rPr>
            </w:pPr>
            <w:r w:rsidRPr="0074322C">
              <w:rPr>
                <w:rFonts w:ascii="Times New Roman" w:hAnsi="Times New Roman" w:cs="Times New Roman"/>
                <w:bCs/>
                <w:noProof/>
              </w:rPr>
              <w:lastRenderedPageBreak/>
              <w:drawing>
                <wp:inline distT="0" distB="0" distL="0" distR="0">
                  <wp:extent cx="3086459" cy="2218479"/>
                  <wp:effectExtent l="19050" t="19050" r="18691" b="10371"/>
                  <wp:docPr id="5" name="Picture 16" descr="H:\Apoorva PhD-Thesis\HPLC\SDS Images\T-III.png"/>
                  <wp:cNvGraphicFramePr/>
                  <a:graphic xmlns:a="http://schemas.openxmlformats.org/drawingml/2006/main">
                    <a:graphicData uri="http://schemas.openxmlformats.org/drawingml/2006/picture">
                      <pic:pic xmlns:pic="http://schemas.openxmlformats.org/drawingml/2006/picture">
                        <pic:nvPicPr>
                          <pic:cNvPr id="4" name="Picture 3" descr="H:\Apoorva PhD-Thesis\HPLC\SDS Images\T-III.png"/>
                          <pic:cNvPicPr/>
                        </pic:nvPicPr>
                        <pic:blipFill>
                          <a:blip r:embed="rId10"/>
                          <a:srcRect/>
                          <a:stretch>
                            <a:fillRect/>
                          </a:stretch>
                        </pic:blipFill>
                        <pic:spPr bwMode="auto">
                          <a:xfrm>
                            <a:off x="0" y="0"/>
                            <a:ext cx="3086727" cy="2218672"/>
                          </a:xfrm>
                          <a:prstGeom prst="rect">
                            <a:avLst/>
                          </a:prstGeom>
                          <a:noFill/>
                          <a:ln w="9525">
                            <a:solidFill>
                              <a:srgbClr val="0070C0"/>
                            </a:solidFill>
                            <a:miter lim="800000"/>
                            <a:headEnd/>
                            <a:tailEnd/>
                          </a:ln>
                        </pic:spPr>
                      </pic:pic>
                    </a:graphicData>
                  </a:graphic>
                </wp:inline>
              </w:drawing>
            </w:r>
          </w:p>
        </w:tc>
        <w:tc>
          <w:tcPr>
            <w:tcW w:w="4538" w:type="dxa"/>
          </w:tcPr>
          <w:p w:rsidR="00A729DB" w:rsidRPr="0074322C" w:rsidRDefault="00A729DB" w:rsidP="0074322C">
            <w:pPr>
              <w:pStyle w:val="Default"/>
              <w:spacing w:line="480" w:lineRule="auto"/>
              <w:jc w:val="both"/>
              <w:rPr>
                <w:rFonts w:ascii="Times New Roman" w:hAnsi="Times New Roman" w:cs="Times New Roman"/>
                <w:bCs/>
              </w:rPr>
            </w:pPr>
            <w:r w:rsidRPr="0074322C">
              <w:rPr>
                <w:rFonts w:ascii="Times New Roman" w:hAnsi="Times New Roman" w:cs="Times New Roman"/>
                <w:bCs/>
                <w:noProof/>
              </w:rPr>
              <w:drawing>
                <wp:inline distT="0" distB="0" distL="0" distR="0">
                  <wp:extent cx="2762708" cy="2179674"/>
                  <wp:effectExtent l="19050" t="0" r="18592" b="0"/>
                  <wp:docPr id="6"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729DB" w:rsidRPr="0074322C" w:rsidTr="00A729DB">
        <w:tc>
          <w:tcPr>
            <w:tcW w:w="5038" w:type="dxa"/>
          </w:tcPr>
          <w:p w:rsidR="00A729DB" w:rsidRPr="0074322C" w:rsidRDefault="00A729DB"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Fig. 3A: T-II</w:t>
            </w:r>
            <w:r w:rsidR="00DD5763" w:rsidRPr="0074322C">
              <w:rPr>
                <w:rFonts w:ascii="Times New Roman" w:hAnsi="Times New Roman" w:cs="Times New Roman"/>
                <w:b/>
                <w:bCs/>
                <w:sz w:val="24"/>
                <w:szCs w:val="24"/>
              </w:rPr>
              <w:t>I</w:t>
            </w:r>
            <w:r w:rsidRPr="0074322C">
              <w:rPr>
                <w:rFonts w:ascii="Times New Roman" w:hAnsi="Times New Roman" w:cs="Times New Roman"/>
                <w:b/>
                <w:bCs/>
                <w:sz w:val="24"/>
                <w:szCs w:val="24"/>
              </w:rPr>
              <w:t>= Trypsin, SDS-PAGE for different incubation Con., M= Protein    molecular marker, GMWP=goat milk whey        protein.</w:t>
            </w:r>
          </w:p>
        </w:tc>
        <w:tc>
          <w:tcPr>
            <w:tcW w:w="4538" w:type="dxa"/>
          </w:tcPr>
          <w:p w:rsidR="00A729DB" w:rsidRPr="0074322C" w:rsidRDefault="00A729DB"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Fig. 3B: NPN (mg/ml) for different               incubation Con., different small letters differ significantly (&lt;0.05).</w:t>
            </w:r>
          </w:p>
        </w:tc>
      </w:tr>
    </w:tbl>
    <w:p w:rsidR="006C4256" w:rsidRPr="0074322C" w:rsidRDefault="006C4256" w:rsidP="0074322C">
      <w:pPr>
        <w:pStyle w:val="Default"/>
        <w:spacing w:line="480" w:lineRule="auto"/>
        <w:ind w:firstLine="720"/>
        <w:jc w:val="both"/>
        <w:rPr>
          <w:rFonts w:ascii="Times New Roman" w:hAnsi="Times New Roman" w:cs="Times New Roman"/>
          <w:bCs/>
        </w:rPr>
      </w:pPr>
      <w:r w:rsidRPr="0074322C">
        <w:rPr>
          <w:rFonts w:ascii="Times New Roman" w:hAnsi="Times New Roman" w:cs="Times New Roman"/>
          <w:bCs/>
        </w:rPr>
        <w:t xml:space="preserve">SDS-PASE showed that the hydrolysation of GMWP with trypsin enzyme was increased as the enzyme concentration increased up to 1.0 % level. These findings were further confirmed with NPN method (Fig. </w:t>
      </w:r>
      <w:r w:rsidR="00DD5763" w:rsidRPr="0074322C">
        <w:rPr>
          <w:rFonts w:ascii="Times New Roman" w:hAnsi="Times New Roman" w:cs="Times New Roman"/>
          <w:bCs/>
        </w:rPr>
        <w:t>3B</w:t>
      </w:r>
      <w:r w:rsidRPr="0074322C">
        <w:rPr>
          <w:rFonts w:ascii="Times New Roman" w:hAnsi="Times New Roman" w:cs="Times New Roman"/>
          <w:bCs/>
        </w:rPr>
        <w:t xml:space="preserve">). The non protein nitrogen was recovered up to 5.5 mg/ml at 1.0 per cent enzyme concentration. Fig </w:t>
      </w:r>
      <w:r w:rsidR="00DD5763" w:rsidRPr="0074322C">
        <w:rPr>
          <w:rFonts w:ascii="Times New Roman" w:hAnsi="Times New Roman" w:cs="Times New Roman"/>
          <w:bCs/>
        </w:rPr>
        <w:t>3A</w:t>
      </w:r>
      <w:r w:rsidRPr="0074322C">
        <w:rPr>
          <w:rFonts w:ascii="Times New Roman" w:hAnsi="Times New Roman" w:cs="Times New Roman"/>
          <w:bCs/>
        </w:rPr>
        <w:t xml:space="preserve"> and </w:t>
      </w:r>
      <w:r w:rsidR="00DD5763" w:rsidRPr="0074322C">
        <w:rPr>
          <w:rFonts w:ascii="Times New Roman" w:hAnsi="Times New Roman" w:cs="Times New Roman"/>
          <w:bCs/>
        </w:rPr>
        <w:t>3B</w:t>
      </w:r>
      <w:r w:rsidRPr="0074322C">
        <w:rPr>
          <w:rFonts w:ascii="Times New Roman" w:hAnsi="Times New Roman" w:cs="Times New Roman"/>
          <w:bCs/>
        </w:rPr>
        <w:t xml:space="preserve"> revealed that the hydrolysation of GMWP did not increase significantly (&lt;0.05) after 1.0% level of enzyme concentration with trypsin enzyme. An enzyme concentration of trypsin was 1% at 37°C for 4 h also considered optimum for digestion of casein by Mir </w:t>
      </w:r>
      <w:r w:rsidRPr="0074322C">
        <w:rPr>
          <w:rFonts w:ascii="Times New Roman" w:hAnsi="Times New Roman" w:cs="Times New Roman"/>
          <w:bCs/>
          <w:i/>
        </w:rPr>
        <w:t>et al</w:t>
      </w:r>
      <w:r w:rsidRPr="0074322C">
        <w:rPr>
          <w:rFonts w:ascii="Times New Roman" w:hAnsi="Times New Roman" w:cs="Times New Roman"/>
          <w:bCs/>
        </w:rPr>
        <w:t>. (2018) in </w:t>
      </w:r>
      <w:hyperlink r:id="rId12" w:history="1">
        <w:r w:rsidRPr="0074322C">
          <w:rPr>
            <w:rFonts w:ascii="Times New Roman" w:hAnsi="Times New Roman" w:cs="Times New Roman"/>
            <w:bCs/>
          </w:rPr>
          <w:t>Silk</w:t>
        </w:r>
      </w:hyperlink>
      <w:r w:rsidRPr="0074322C">
        <w:rPr>
          <w:rFonts w:ascii="Times New Roman" w:hAnsi="Times New Roman" w:cs="Times New Roman"/>
          <w:bCs/>
        </w:rPr>
        <w:t>.</w:t>
      </w:r>
    </w:p>
    <w:p w:rsidR="00887B0E" w:rsidRDefault="00887B0E" w:rsidP="0074322C">
      <w:pPr>
        <w:spacing w:after="0" w:line="480" w:lineRule="auto"/>
        <w:jc w:val="both"/>
        <w:rPr>
          <w:rFonts w:ascii="Times New Roman" w:hAnsi="Times New Roman" w:cs="Times New Roman"/>
          <w:b/>
          <w:bCs/>
          <w:sz w:val="24"/>
          <w:szCs w:val="24"/>
        </w:rPr>
      </w:pPr>
    </w:p>
    <w:p w:rsidR="006C4256" w:rsidRPr="0074322C" w:rsidRDefault="006C4256" w:rsidP="0074322C">
      <w:pPr>
        <w:spacing w:after="0" w:line="480" w:lineRule="auto"/>
        <w:jc w:val="both"/>
        <w:rPr>
          <w:rFonts w:ascii="Times New Roman" w:hAnsi="Times New Roman" w:cs="Times New Roman"/>
          <w:b/>
          <w:bCs/>
          <w:sz w:val="24"/>
          <w:szCs w:val="24"/>
        </w:rPr>
      </w:pPr>
      <w:r w:rsidRPr="0074322C">
        <w:rPr>
          <w:rFonts w:ascii="Times New Roman" w:hAnsi="Times New Roman" w:cs="Times New Roman"/>
          <w:b/>
          <w:bCs/>
          <w:sz w:val="24"/>
          <w:szCs w:val="24"/>
        </w:rPr>
        <w:t>Optimization of incubation pH</w:t>
      </w:r>
    </w:p>
    <w:p w:rsidR="0005043A" w:rsidRPr="0074322C" w:rsidRDefault="006C4256" w:rsidP="0074322C">
      <w:pPr>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sz w:val="24"/>
          <w:szCs w:val="24"/>
        </w:rPr>
        <w:t xml:space="preserve">The hydrolysates of GMWP using trypsin enzymes was done at different incubation pH levels from 6 to 10, and hydrolysis were compared with the standard molecular weight marker using SDS-PAGE analysis (Fig. </w:t>
      </w:r>
      <w:r w:rsidR="002F0C2C" w:rsidRPr="0074322C">
        <w:rPr>
          <w:rFonts w:ascii="Times New Roman" w:hAnsi="Times New Roman" w:cs="Times New Roman"/>
          <w:sz w:val="24"/>
          <w:szCs w:val="24"/>
        </w:rPr>
        <w:t>4A</w:t>
      </w:r>
      <w:r w:rsidRPr="0074322C">
        <w:rPr>
          <w:rFonts w:ascii="Times New Roman" w:hAnsi="Times New Roman" w:cs="Times New Roman"/>
          <w:sz w:val="24"/>
          <w:szCs w:val="24"/>
        </w:rPr>
        <w:t>).</w:t>
      </w:r>
      <w:r w:rsidRPr="0074322C">
        <w:rPr>
          <w:rFonts w:ascii="Times New Roman" w:hAnsi="Times New Roman" w:cs="Times New Roman"/>
          <w:bCs/>
          <w:sz w:val="24"/>
          <w:szCs w:val="24"/>
        </w:rPr>
        <w:t xml:space="preserve"> </w:t>
      </w:r>
    </w:p>
    <w:p w:rsidR="00573AEF" w:rsidRPr="0074322C" w:rsidRDefault="00573AEF" w:rsidP="0074322C">
      <w:pPr>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bCs/>
          <w:sz w:val="24"/>
          <w:szCs w:val="24"/>
        </w:rPr>
        <w:lastRenderedPageBreak/>
        <w:t>SDS-PASE showed that the hydrolysation of GMWP powder with trypsin enzyme was highest at pH 8.0 level followed by 9.0 pH. These findings were further confirmed with NPN method (Fig. 4B).</w:t>
      </w:r>
    </w:p>
    <w:tbl>
      <w:tblPr>
        <w:tblStyle w:val="TableGrid"/>
        <w:tblW w:w="0" w:type="auto"/>
        <w:tblLook w:val="04A0"/>
      </w:tblPr>
      <w:tblGrid>
        <w:gridCol w:w="4996"/>
        <w:gridCol w:w="4580"/>
      </w:tblGrid>
      <w:tr w:rsidR="002F0C2C" w:rsidRPr="0074322C" w:rsidTr="003767BC">
        <w:tc>
          <w:tcPr>
            <w:tcW w:w="4996" w:type="dxa"/>
          </w:tcPr>
          <w:p w:rsidR="002F0C2C" w:rsidRPr="0074322C" w:rsidRDefault="002F0C2C" w:rsidP="0074322C">
            <w:pPr>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drawing>
                <wp:inline distT="0" distB="0" distL="0" distR="0">
                  <wp:extent cx="3027887" cy="2128726"/>
                  <wp:effectExtent l="19050" t="19050" r="20113" b="23924"/>
                  <wp:docPr id="7" name="Picture 18"/>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3"/>
                          <a:srcRect/>
                          <a:stretch>
                            <a:fillRect/>
                          </a:stretch>
                        </pic:blipFill>
                        <pic:spPr bwMode="auto">
                          <a:xfrm>
                            <a:off x="0" y="0"/>
                            <a:ext cx="3035041" cy="2133756"/>
                          </a:xfrm>
                          <a:prstGeom prst="rect">
                            <a:avLst/>
                          </a:prstGeom>
                          <a:noFill/>
                          <a:ln w="9525">
                            <a:solidFill>
                              <a:srgbClr val="0070C0"/>
                            </a:solidFill>
                            <a:miter lim="800000"/>
                            <a:headEnd/>
                            <a:tailEnd/>
                          </a:ln>
                        </pic:spPr>
                      </pic:pic>
                    </a:graphicData>
                  </a:graphic>
                </wp:inline>
              </w:drawing>
            </w:r>
          </w:p>
        </w:tc>
        <w:tc>
          <w:tcPr>
            <w:tcW w:w="4580" w:type="dxa"/>
          </w:tcPr>
          <w:p w:rsidR="002F0C2C" w:rsidRPr="0074322C" w:rsidRDefault="002F0C2C" w:rsidP="0074322C">
            <w:pPr>
              <w:spacing w:line="480" w:lineRule="auto"/>
              <w:jc w:val="both"/>
              <w:rPr>
                <w:rFonts w:ascii="Times New Roman" w:hAnsi="Times New Roman" w:cs="Times New Roman"/>
                <w:bCs/>
                <w:sz w:val="24"/>
                <w:szCs w:val="24"/>
              </w:rPr>
            </w:pPr>
            <w:r w:rsidRPr="0074322C">
              <w:rPr>
                <w:rFonts w:ascii="Times New Roman" w:hAnsi="Times New Roman" w:cs="Times New Roman"/>
                <w:bCs/>
                <w:noProof/>
                <w:sz w:val="24"/>
                <w:szCs w:val="24"/>
              </w:rPr>
              <w:drawing>
                <wp:inline distT="0" distB="0" distL="0" distR="0">
                  <wp:extent cx="2755088" cy="2145546"/>
                  <wp:effectExtent l="19050" t="0" r="26212" b="7104"/>
                  <wp:docPr id="8"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3767BC" w:rsidRPr="0074322C" w:rsidTr="003767BC">
        <w:tc>
          <w:tcPr>
            <w:tcW w:w="4996" w:type="dxa"/>
          </w:tcPr>
          <w:p w:rsidR="003767BC" w:rsidRPr="0074322C" w:rsidRDefault="003767BC"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Fig. 4A: T-IV= Trypsin, SDS-PAGE for different incubation pH, M= Protein    molecular marker, GMWP=goat milk whey        protein.</w:t>
            </w:r>
          </w:p>
        </w:tc>
        <w:tc>
          <w:tcPr>
            <w:tcW w:w="4580" w:type="dxa"/>
          </w:tcPr>
          <w:p w:rsidR="003767BC" w:rsidRPr="0074322C" w:rsidRDefault="003767BC" w:rsidP="0074322C">
            <w:pPr>
              <w:autoSpaceDE w:val="0"/>
              <w:autoSpaceDN w:val="0"/>
              <w:adjustRightInd w:val="0"/>
              <w:spacing w:line="480" w:lineRule="auto"/>
              <w:rPr>
                <w:rFonts w:ascii="Times New Roman" w:hAnsi="Times New Roman" w:cs="Times New Roman"/>
                <w:bCs/>
                <w:sz w:val="24"/>
                <w:szCs w:val="24"/>
              </w:rPr>
            </w:pPr>
            <w:r w:rsidRPr="0074322C">
              <w:rPr>
                <w:rFonts w:ascii="Times New Roman" w:hAnsi="Times New Roman" w:cs="Times New Roman"/>
                <w:b/>
                <w:bCs/>
                <w:sz w:val="24"/>
                <w:szCs w:val="24"/>
              </w:rPr>
              <w:t>Fig. 4B: NPN (mg/ml) for different               incubation pH., different small letters differ significantly (&lt;0.05).</w:t>
            </w:r>
          </w:p>
        </w:tc>
      </w:tr>
    </w:tbl>
    <w:p w:rsidR="0005043A" w:rsidRPr="0074322C" w:rsidRDefault="0005043A" w:rsidP="0074322C">
      <w:pPr>
        <w:spacing w:after="0" w:line="480" w:lineRule="auto"/>
        <w:ind w:firstLine="630"/>
        <w:jc w:val="both"/>
        <w:rPr>
          <w:rFonts w:ascii="Times New Roman" w:hAnsi="Times New Roman" w:cs="Times New Roman"/>
          <w:bCs/>
          <w:sz w:val="24"/>
          <w:szCs w:val="24"/>
        </w:rPr>
      </w:pPr>
    </w:p>
    <w:p w:rsidR="006C4256" w:rsidRPr="0074322C" w:rsidRDefault="006C4256" w:rsidP="0074322C">
      <w:pPr>
        <w:spacing w:after="0" w:line="480" w:lineRule="auto"/>
        <w:ind w:firstLine="630"/>
        <w:jc w:val="both"/>
        <w:rPr>
          <w:rFonts w:ascii="Times New Roman" w:hAnsi="Times New Roman" w:cs="Times New Roman"/>
          <w:bCs/>
          <w:sz w:val="24"/>
          <w:szCs w:val="24"/>
        </w:rPr>
      </w:pPr>
      <w:r w:rsidRPr="0074322C">
        <w:rPr>
          <w:rFonts w:ascii="Times New Roman" w:hAnsi="Times New Roman" w:cs="Times New Roman"/>
          <w:bCs/>
          <w:sz w:val="24"/>
          <w:szCs w:val="24"/>
        </w:rPr>
        <w:t xml:space="preserve">The non protein nitrogen was recovered 5.7 mg/ml at 8.0 pH level, which was highest. Fig </w:t>
      </w:r>
      <w:r w:rsidR="00573AEF" w:rsidRPr="0074322C">
        <w:rPr>
          <w:rFonts w:ascii="Times New Roman" w:hAnsi="Times New Roman" w:cs="Times New Roman"/>
          <w:bCs/>
          <w:sz w:val="24"/>
          <w:szCs w:val="24"/>
        </w:rPr>
        <w:t>4A</w:t>
      </w:r>
      <w:r w:rsidRPr="0074322C">
        <w:rPr>
          <w:rFonts w:ascii="Times New Roman" w:hAnsi="Times New Roman" w:cs="Times New Roman"/>
          <w:bCs/>
          <w:sz w:val="24"/>
          <w:szCs w:val="24"/>
        </w:rPr>
        <w:t xml:space="preserve"> and </w:t>
      </w:r>
      <w:r w:rsidR="00573AEF" w:rsidRPr="0074322C">
        <w:rPr>
          <w:rFonts w:ascii="Times New Roman" w:hAnsi="Times New Roman" w:cs="Times New Roman"/>
          <w:bCs/>
          <w:sz w:val="24"/>
          <w:szCs w:val="24"/>
        </w:rPr>
        <w:t>4B</w:t>
      </w:r>
      <w:r w:rsidRPr="0074322C">
        <w:rPr>
          <w:rFonts w:ascii="Times New Roman" w:hAnsi="Times New Roman" w:cs="Times New Roman"/>
          <w:bCs/>
          <w:sz w:val="24"/>
          <w:szCs w:val="24"/>
        </w:rPr>
        <w:t xml:space="preserve"> revealed that the hydrolysation of GMWP was optimum at 8.0 pH level with trypsin enzyme. Mir </w:t>
      </w:r>
      <w:r w:rsidRPr="0074322C">
        <w:rPr>
          <w:rFonts w:ascii="Times New Roman" w:hAnsi="Times New Roman" w:cs="Times New Roman"/>
          <w:bCs/>
          <w:i/>
          <w:sz w:val="24"/>
          <w:szCs w:val="24"/>
        </w:rPr>
        <w:t>et al.,</w:t>
      </w:r>
      <w:r w:rsidRPr="0074322C">
        <w:rPr>
          <w:rFonts w:ascii="Times New Roman" w:hAnsi="Times New Roman" w:cs="Times New Roman"/>
          <w:bCs/>
          <w:sz w:val="24"/>
          <w:szCs w:val="24"/>
        </w:rPr>
        <w:t xml:space="preserve"> (2018) reported that trypsin is most active in the pH range between 7 and 9 at 37 </w:t>
      </w:r>
      <w:r w:rsidRPr="0074322C">
        <w:rPr>
          <w:rFonts w:ascii="Times New Roman" w:hAnsi="Times New Roman" w:cs="Times New Roman"/>
          <w:bCs/>
          <w:sz w:val="24"/>
          <w:szCs w:val="24"/>
          <w:vertAlign w:val="superscript"/>
        </w:rPr>
        <w:t>0</w:t>
      </w:r>
      <w:r w:rsidRPr="0074322C">
        <w:rPr>
          <w:rFonts w:ascii="Times New Roman" w:hAnsi="Times New Roman" w:cs="Times New Roman"/>
          <w:bCs/>
          <w:sz w:val="24"/>
          <w:szCs w:val="24"/>
        </w:rPr>
        <w:t xml:space="preserve">C. </w:t>
      </w:r>
    </w:p>
    <w:p w:rsidR="00120EAD" w:rsidRPr="0074322C" w:rsidRDefault="00120EAD" w:rsidP="0074322C">
      <w:pPr>
        <w:spacing w:after="0" w:line="480" w:lineRule="auto"/>
        <w:rPr>
          <w:rFonts w:ascii="Times New Roman" w:hAnsi="Times New Roman" w:cs="Times New Roman"/>
          <w:b/>
          <w:bCs/>
          <w:sz w:val="24"/>
          <w:szCs w:val="24"/>
        </w:rPr>
      </w:pPr>
      <w:r w:rsidRPr="0074322C">
        <w:rPr>
          <w:rFonts w:ascii="Times New Roman" w:hAnsi="Times New Roman" w:cs="Times New Roman"/>
          <w:b/>
          <w:bCs/>
          <w:sz w:val="24"/>
          <w:szCs w:val="24"/>
        </w:rPr>
        <w:t>D</w:t>
      </w:r>
      <w:r w:rsidR="00A25FD7">
        <w:rPr>
          <w:rFonts w:ascii="Times New Roman" w:hAnsi="Times New Roman" w:cs="Times New Roman"/>
          <w:b/>
          <w:bCs/>
          <w:sz w:val="24"/>
          <w:szCs w:val="24"/>
        </w:rPr>
        <w:t>H</w:t>
      </w:r>
      <w:r w:rsidR="00652AC1">
        <w:rPr>
          <w:rFonts w:ascii="Times New Roman" w:hAnsi="Times New Roman" w:cs="Times New Roman"/>
          <w:b/>
          <w:bCs/>
          <w:sz w:val="24"/>
          <w:szCs w:val="24"/>
        </w:rPr>
        <w:t>,</w:t>
      </w:r>
      <w:r w:rsidR="00573A67" w:rsidRPr="0074322C">
        <w:rPr>
          <w:rFonts w:ascii="Times New Roman" w:hAnsi="Times New Roman" w:cs="Times New Roman"/>
          <w:b/>
          <w:bCs/>
          <w:sz w:val="24"/>
          <w:szCs w:val="24"/>
        </w:rPr>
        <w:t xml:space="preserve"> ABTS</w:t>
      </w:r>
      <w:r w:rsidR="00652AC1">
        <w:rPr>
          <w:rFonts w:ascii="Times New Roman" w:hAnsi="Times New Roman" w:cs="Times New Roman"/>
          <w:b/>
          <w:bCs/>
          <w:sz w:val="24"/>
          <w:szCs w:val="24"/>
        </w:rPr>
        <w:t xml:space="preserve"> and Ca</w:t>
      </w:r>
      <w:r w:rsidR="00652AC1" w:rsidRPr="00652AC1">
        <w:rPr>
          <w:rFonts w:ascii="Times New Roman" w:hAnsi="Times New Roman" w:cs="Times New Roman"/>
          <w:b/>
          <w:bCs/>
          <w:sz w:val="24"/>
          <w:szCs w:val="24"/>
          <w:vertAlign w:val="superscript"/>
        </w:rPr>
        <w:t>+</w:t>
      </w:r>
      <w:r w:rsidR="00A25FD7">
        <w:rPr>
          <w:rFonts w:ascii="Times New Roman" w:hAnsi="Times New Roman" w:cs="Times New Roman"/>
          <w:b/>
          <w:bCs/>
          <w:sz w:val="24"/>
          <w:szCs w:val="24"/>
        </w:rPr>
        <w:t xml:space="preserve"> </w:t>
      </w:r>
      <w:r w:rsidR="00652AC1">
        <w:rPr>
          <w:rFonts w:ascii="Times New Roman" w:hAnsi="Times New Roman" w:cs="Times New Roman"/>
          <w:b/>
          <w:bCs/>
          <w:sz w:val="24"/>
          <w:szCs w:val="24"/>
        </w:rPr>
        <w:t xml:space="preserve">chelating </w:t>
      </w:r>
      <w:r w:rsidR="00A25FD7">
        <w:rPr>
          <w:rFonts w:ascii="Times New Roman" w:hAnsi="Times New Roman" w:cs="Times New Roman"/>
          <w:b/>
          <w:bCs/>
          <w:sz w:val="24"/>
          <w:szCs w:val="24"/>
        </w:rPr>
        <w:t>activity</w:t>
      </w:r>
    </w:p>
    <w:p w:rsidR="00907B12" w:rsidRPr="0074322C" w:rsidRDefault="00120EAD"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The DH is a measure of the extent of hydrolytic degradation of a protein and is the most widely used indicator for comparing different proteolytic processes. Degree of hydrolysis</w:t>
      </w:r>
      <w:r w:rsidR="0052440E">
        <w:rPr>
          <w:rFonts w:ascii="Times New Roman" w:hAnsi="Times New Roman" w:cs="Times New Roman"/>
          <w:sz w:val="24"/>
          <w:szCs w:val="24"/>
        </w:rPr>
        <w:t xml:space="preserve"> and </w:t>
      </w:r>
      <w:r w:rsidR="002A3ED0" w:rsidRPr="0074322C">
        <w:rPr>
          <w:rFonts w:ascii="Times New Roman" w:hAnsi="Times New Roman" w:cs="Times New Roman"/>
          <w:sz w:val="24"/>
          <w:szCs w:val="24"/>
        </w:rPr>
        <w:t xml:space="preserve">ABTS activity </w:t>
      </w:r>
      <w:r w:rsidRPr="0074322C">
        <w:rPr>
          <w:rFonts w:ascii="Times New Roman" w:hAnsi="Times New Roman" w:cs="Times New Roman"/>
          <w:sz w:val="24"/>
          <w:szCs w:val="24"/>
        </w:rPr>
        <w:t>of goat milk whey protein hydrolysates by trypsin w</w:t>
      </w:r>
      <w:r w:rsidR="000F2379" w:rsidRPr="0074322C">
        <w:rPr>
          <w:rFonts w:ascii="Times New Roman" w:hAnsi="Times New Roman" w:cs="Times New Roman"/>
          <w:sz w:val="24"/>
          <w:szCs w:val="24"/>
        </w:rPr>
        <w:t>as</w:t>
      </w:r>
      <w:r w:rsidRPr="0074322C">
        <w:rPr>
          <w:rFonts w:ascii="Times New Roman" w:hAnsi="Times New Roman" w:cs="Times New Roman"/>
          <w:sz w:val="24"/>
          <w:szCs w:val="24"/>
        </w:rPr>
        <w:t xml:space="preserve"> expressed in terms of </w:t>
      </w:r>
      <w:r w:rsidRPr="0074322C">
        <w:rPr>
          <w:rFonts w:ascii="Times New Roman" w:hAnsi="Times New Roman" w:cs="Times New Roman"/>
          <w:sz w:val="24"/>
          <w:szCs w:val="24"/>
        </w:rPr>
        <w:lastRenderedPageBreak/>
        <w:t>percentage (%) of hydrolysis carried out under different standardized control conditions selected for different enzymes (</w:t>
      </w:r>
      <w:r w:rsidR="006D424C" w:rsidRPr="0074322C">
        <w:rPr>
          <w:rFonts w:ascii="Times New Roman" w:hAnsi="Times New Roman" w:cs="Times New Roman"/>
          <w:sz w:val="24"/>
          <w:szCs w:val="24"/>
        </w:rPr>
        <w:t>Table 1</w:t>
      </w:r>
      <w:r w:rsidRPr="0074322C">
        <w:rPr>
          <w:rFonts w:ascii="Times New Roman" w:hAnsi="Times New Roman" w:cs="Times New Roman"/>
          <w:sz w:val="24"/>
          <w:szCs w:val="24"/>
        </w:rPr>
        <w:t xml:space="preserve">). </w:t>
      </w:r>
    </w:p>
    <w:p w:rsidR="008614D8" w:rsidRPr="0074322C" w:rsidRDefault="008614D8"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Table 1</w:t>
      </w:r>
      <w:r w:rsidR="002159A5" w:rsidRPr="0074322C">
        <w:rPr>
          <w:rFonts w:ascii="Times New Roman" w:hAnsi="Times New Roman" w:cs="Times New Roman"/>
          <w:sz w:val="24"/>
          <w:szCs w:val="24"/>
        </w:rPr>
        <w:t xml:space="preserve">. </w:t>
      </w:r>
      <w:r w:rsidR="002A3ED0" w:rsidRPr="0074322C">
        <w:rPr>
          <w:rFonts w:ascii="Times New Roman" w:hAnsi="Times New Roman" w:cs="Times New Roman"/>
          <w:sz w:val="24"/>
          <w:szCs w:val="24"/>
        </w:rPr>
        <w:t xml:space="preserve">The percent </w:t>
      </w:r>
      <w:r w:rsidR="0052440E">
        <w:rPr>
          <w:rFonts w:ascii="Times New Roman" w:hAnsi="Times New Roman" w:cs="Times New Roman"/>
          <w:sz w:val="24"/>
          <w:szCs w:val="24"/>
        </w:rPr>
        <w:t>DH</w:t>
      </w:r>
      <w:r w:rsidR="00652AC1">
        <w:rPr>
          <w:rFonts w:ascii="Times New Roman" w:hAnsi="Times New Roman" w:cs="Times New Roman"/>
          <w:sz w:val="24"/>
          <w:szCs w:val="24"/>
        </w:rPr>
        <w:t>,</w:t>
      </w:r>
      <w:r w:rsidR="0052440E">
        <w:rPr>
          <w:rFonts w:ascii="Times New Roman" w:hAnsi="Times New Roman" w:cs="Times New Roman"/>
          <w:sz w:val="24"/>
          <w:szCs w:val="24"/>
        </w:rPr>
        <w:t xml:space="preserve"> </w:t>
      </w:r>
      <w:r w:rsidR="002159A5" w:rsidRPr="0074322C">
        <w:rPr>
          <w:rFonts w:ascii="Times New Roman" w:hAnsi="Times New Roman" w:cs="Times New Roman"/>
          <w:sz w:val="24"/>
          <w:szCs w:val="24"/>
        </w:rPr>
        <w:t xml:space="preserve">ABTS </w:t>
      </w:r>
      <w:r w:rsidR="00652AC1">
        <w:rPr>
          <w:rFonts w:ascii="Times New Roman" w:hAnsi="Times New Roman" w:cs="Times New Roman"/>
          <w:sz w:val="24"/>
          <w:szCs w:val="24"/>
        </w:rPr>
        <w:t>and Ca</w:t>
      </w:r>
      <w:r w:rsidR="00652AC1" w:rsidRPr="00652AC1">
        <w:rPr>
          <w:rFonts w:ascii="Times New Roman" w:hAnsi="Times New Roman" w:cs="Times New Roman"/>
          <w:sz w:val="24"/>
          <w:szCs w:val="24"/>
          <w:vertAlign w:val="superscript"/>
        </w:rPr>
        <w:t>+</w:t>
      </w:r>
      <w:r w:rsidR="00652AC1">
        <w:rPr>
          <w:rFonts w:ascii="Times New Roman" w:hAnsi="Times New Roman" w:cs="Times New Roman"/>
          <w:sz w:val="24"/>
          <w:szCs w:val="24"/>
        </w:rPr>
        <w:t xml:space="preserve"> chelating a</w:t>
      </w:r>
      <w:r w:rsidR="002159A5" w:rsidRPr="0074322C">
        <w:rPr>
          <w:rFonts w:ascii="Times New Roman" w:hAnsi="Times New Roman" w:cs="Times New Roman"/>
          <w:sz w:val="24"/>
          <w:szCs w:val="24"/>
        </w:rPr>
        <w:t>ctivity of GMWPH with trypsin</w:t>
      </w:r>
    </w:p>
    <w:tbl>
      <w:tblPr>
        <w:tblStyle w:val="TableGrid"/>
        <w:tblW w:w="0" w:type="auto"/>
        <w:tblInd w:w="630" w:type="dxa"/>
        <w:tblLook w:val="04A0"/>
      </w:tblPr>
      <w:tblGrid>
        <w:gridCol w:w="1458"/>
        <w:gridCol w:w="2160"/>
        <w:gridCol w:w="2160"/>
        <w:gridCol w:w="2160"/>
      </w:tblGrid>
      <w:tr w:rsidR="00907B12" w:rsidRPr="0074322C" w:rsidTr="00764077">
        <w:tc>
          <w:tcPr>
            <w:tcW w:w="1458" w:type="dxa"/>
            <w:vMerge w:val="restart"/>
          </w:tcPr>
          <w:p w:rsidR="00907B12" w:rsidRPr="0074322C" w:rsidRDefault="00907B12" w:rsidP="0074322C">
            <w:pPr>
              <w:spacing w:line="480" w:lineRule="auto"/>
              <w:rPr>
                <w:rFonts w:ascii="Times New Roman" w:hAnsi="Times New Roman" w:cs="Times New Roman"/>
                <w:b/>
                <w:bCs/>
                <w:sz w:val="24"/>
                <w:szCs w:val="24"/>
              </w:rPr>
            </w:pPr>
            <w:r w:rsidRPr="0074322C">
              <w:rPr>
                <w:rFonts w:ascii="Times New Roman" w:hAnsi="Times New Roman" w:cs="Times New Roman"/>
                <w:b/>
                <w:bCs/>
                <w:sz w:val="24"/>
                <w:szCs w:val="24"/>
              </w:rPr>
              <w:t xml:space="preserve">Proteolysis </w:t>
            </w:r>
          </w:p>
          <w:p w:rsidR="00907B12" w:rsidRPr="0074322C" w:rsidRDefault="00907B12" w:rsidP="0074322C">
            <w:pPr>
              <w:spacing w:line="480" w:lineRule="auto"/>
              <w:rPr>
                <w:rFonts w:ascii="Times New Roman" w:hAnsi="Times New Roman" w:cs="Times New Roman"/>
                <w:b/>
                <w:bCs/>
                <w:sz w:val="24"/>
                <w:szCs w:val="24"/>
              </w:rPr>
            </w:pPr>
            <w:r w:rsidRPr="0074322C">
              <w:rPr>
                <w:rFonts w:ascii="Times New Roman" w:hAnsi="Times New Roman" w:cs="Times New Roman"/>
                <w:b/>
                <w:bCs/>
                <w:sz w:val="24"/>
                <w:szCs w:val="24"/>
              </w:rPr>
              <w:t>time (Hrs)</w:t>
            </w:r>
          </w:p>
        </w:tc>
        <w:tc>
          <w:tcPr>
            <w:tcW w:w="6480" w:type="dxa"/>
            <w:gridSpan w:val="3"/>
          </w:tcPr>
          <w:p w:rsidR="00907B12" w:rsidRPr="0074322C" w:rsidRDefault="00907B12"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Hydrolyzing enzymes</w:t>
            </w:r>
            <w:r w:rsidR="006D424C" w:rsidRPr="0074322C">
              <w:rPr>
                <w:rFonts w:ascii="Times New Roman" w:hAnsi="Times New Roman" w:cs="Times New Roman"/>
                <w:b/>
                <w:bCs/>
                <w:sz w:val="24"/>
                <w:szCs w:val="24"/>
              </w:rPr>
              <w:t xml:space="preserve"> Trypsin</w:t>
            </w:r>
          </w:p>
        </w:tc>
      </w:tr>
      <w:tr w:rsidR="00907B12" w:rsidRPr="0074322C" w:rsidTr="00764077">
        <w:tc>
          <w:tcPr>
            <w:tcW w:w="1458" w:type="dxa"/>
            <w:vMerge/>
          </w:tcPr>
          <w:p w:rsidR="00907B12" w:rsidRPr="0074322C" w:rsidRDefault="00907B12" w:rsidP="0074322C">
            <w:pPr>
              <w:spacing w:line="480" w:lineRule="auto"/>
              <w:rPr>
                <w:rFonts w:ascii="Times New Roman" w:hAnsi="Times New Roman" w:cs="Times New Roman"/>
                <w:b/>
                <w:bCs/>
                <w:sz w:val="24"/>
                <w:szCs w:val="24"/>
              </w:rPr>
            </w:pPr>
          </w:p>
        </w:tc>
        <w:tc>
          <w:tcPr>
            <w:tcW w:w="2160" w:type="dxa"/>
          </w:tcPr>
          <w:p w:rsidR="00907B12" w:rsidRPr="0074322C" w:rsidRDefault="006D424C"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DH (%)</w:t>
            </w:r>
          </w:p>
        </w:tc>
        <w:tc>
          <w:tcPr>
            <w:tcW w:w="2160" w:type="dxa"/>
          </w:tcPr>
          <w:p w:rsidR="00907B12" w:rsidRPr="0074322C" w:rsidRDefault="006D424C"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ABTS</w:t>
            </w:r>
          </w:p>
        </w:tc>
        <w:tc>
          <w:tcPr>
            <w:tcW w:w="2160" w:type="dxa"/>
          </w:tcPr>
          <w:p w:rsidR="00907B12" w:rsidRPr="0074322C" w:rsidRDefault="00DE516F" w:rsidP="00DE516F">
            <w:pPr>
              <w:spacing w:line="480" w:lineRule="auto"/>
              <w:rPr>
                <w:rFonts w:ascii="Times New Roman" w:hAnsi="Times New Roman" w:cs="Times New Roman"/>
                <w:b/>
                <w:bCs/>
                <w:sz w:val="24"/>
                <w:szCs w:val="24"/>
              </w:rPr>
            </w:pPr>
            <w:r>
              <w:rPr>
                <w:rFonts w:ascii="Times New Roman" w:hAnsi="Times New Roman" w:cs="Times New Roman"/>
                <w:b/>
                <w:bCs/>
                <w:sz w:val="24"/>
                <w:szCs w:val="24"/>
              </w:rPr>
              <w:t>Ca+ Con. (</w:t>
            </w:r>
            <w:r w:rsidR="00535C8E">
              <w:rPr>
                <w:rFonts w:ascii="Times New Roman" w:hAnsi="Times New Roman" w:cs="Times New Roman"/>
                <w:b/>
                <w:bCs/>
                <w:sz w:val="24"/>
                <w:szCs w:val="24"/>
              </w:rPr>
              <w:t>%)</w:t>
            </w:r>
          </w:p>
        </w:tc>
      </w:tr>
      <w:tr w:rsidR="000226E6" w:rsidRPr="0074322C" w:rsidTr="00764077">
        <w:tc>
          <w:tcPr>
            <w:tcW w:w="1458" w:type="dxa"/>
          </w:tcPr>
          <w:p w:rsidR="000226E6" w:rsidRPr="0074322C" w:rsidRDefault="000226E6"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1</w:t>
            </w:r>
          </w:p>
        </w:tc>
        <w:tc>
          <w:tcPr>
            <w:tcW w:w="2160" w:type="dxa"/>
          </w:tcPr>
          <w:p w:rsidR="000226E6" w:rsidRPr="0074322C" w:rsidRDefault="00DE7B27"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11.8</w:t>
            </w:r>
            <w:r w:rsidR="00D04454" w:rsidRPr="0074322C">
              <w:rPr>
                <w:rFonts w:ascii="Times New Roman" w:hAnsi="Times New Roman" w:cs="Times New Roman"/>
                <w:bCs/>
                <w:sz w:val="24"/>
                <w:szCs w:val="24"/>
                <w:vertAlign w:val="superscript"/>
              </w:rPr>
              <w:t>a</w:t>
            </w:r>
            <w:r w:rsidR="00B036EF" w:rsidRPr="0074322C">
              <w:rPr>
                <w:rFonts w:ascii="Times New Roman" w:hAnsi="Times New Roman" w:cs="Times New Roman"/>
                <w:bCs/>
                <w:sz w:val="24"/>
                <w:szCs w:val="24"/>
              </w:rPr>
              <w:t>±0.</w:t>
            </w:r>
            <w:r w:rsidR="00D04454" w:rsidRPr="0074322C">
              <w:rPr>
                <w:rFonts w:ascii="Times New Roman" w:hAnsi="Times New Roman" w:cs="Times New Roman"/>
                <w:bCs/>
                <w:sz w:val="24"/>
                <w:szCs w:val="24"/>
              </w:rPr>
              <w:t>08</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33.49</w:t>
            </w:r>
            <w:r w:rsidRPr="0074322C">
              <w:rPr>
                <w:rFonts w:ascii="Times New Roman" w:hAnsi="Times New Roman" w:cs="Times New Roman"/>
                <w:sz w:val="24"/>
                <w:szCs w:val="24"/>
                <w:vertAlign w:val="superscript"/>
              </w:rPr>
              <w:t>a</w:t>
            </w:r>
            <w:r w:rsidRPr="0074322C">
              <w:rPr>
                <w:rFonts w:ascii="Times New Roman" w:hAnsi="Times New Roman" w:cs="Times New Roman"/>
                <w:sz w:val="24"/>
                <w:szCs w:val="24"/>
              </w:rPr>
              <w:t>±0.91</w:t>
            </w:r>
          </w:p>
        </w:tc>
        <w:tc>
          <w:tcPr>
            <w:tcW w:w="2160" w:type="dxa"/>
          </w:tcPr>
          <w:p w:rsidR="000226E6" w:rsidRPr="0074322C" w:rsidRDefault="00535C8E" w:rsidP="0074322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11.8</w:t>
            </w:r>
            <w:r w:rsidRPr="00EC3465">
              <w:rPr>
                <w:rFonts w:ascii="Times New Roman" w:hAnsi="Times New Roman" w:cs="Times New Roman"/>
                <w:bCs/>
                <w:sz w:val="24"/>
                <w:szCs w:val="24"/>
                <w:vertAlign w:val="superscript"/>
              </w:rPr>
              <w:t>a</w:t>
            </w:r>
            <w:r w:rsidRPr="0074322C">
              <w:rPr>
                <w:rFonts w:ascii="Times New Roman" w:hAnsi="Times New Roman" w:cs="Times New Roman"/>
                <w:sz w:val="24"/>
                <w:szCs w:val="24"/>
              </w:rPr>
              <w:t>±0.91</w:t>
            </w:r>
          </w:p>
        </w:tc>
      </w:tr>
      <w:tr w:rsidR="000226E6" w:rsidRPr="0074322C" w:rsidTr="00764077">
        <w:tc>
          <w:tcPr>
            <w:tcW w:w="1458" w:type="dxa"/>
          </w:tcPr>
          <w:p w:rsidR="000226E6" w:rsidRPr="0074322C" w:rsidRDefault="000226E6"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2</w:t>
            </w:r>
          </w:p>
        </w:tc>
        <w:tc>
          <w:tcPr>
            <w:tcW w:w="2160" w:type="dxa"/>
          </w:tcPr>
          <w:p w:rsidR="000226E6" w:rsidRPr="0074322C" w:rsidRDefault="000226E6"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1</w:t>
            </w:r>
            <w:r w:rsidR="00DE7B27" w:rsidRPr="0074322C">
              <w:rPr>
                <w:rFonts w:ascii="Times New Roman" w:hAnsi="Times New Roman" w:cs="Times New Roman"/>
                <w:bCs/>
                <w:sz w:val="24"/>
                <w:szCs w:val="24"/>
              </w:rPr>
              <w:t>6</w:t>
            </w:r>
            <w:r w:rsidRPr="0074322C">
              <w:rPr>
                <w:rFonts w:ascii="Times New Roman" w:hAnsi="Times New Roman" w:cs="Times New Roman"/>
                <w:bCs/>
                <w:sz w:val="24"/>
                <w:szCs w:val="24"/>
              </w:rPr>
              <w:t>.</w:t>
            </w:r>
            <w:r w:rsidR="00DE7B27" w:rsidRPr="0074322C">
              <w:rPr>
                <w:rFonts w:ascii="Times New Roman" w:hAnsi="Times New Roman" w:cs="Times New Roman"/>
                <w:bCs/>
                <w:sz w:val="24"/>
                <w:szCs w:val="24"/>
              </w:rPr>
              <w:t>5</w:t>
            </w:r>
            <w:r w:rsidRPr="0074322C">
              <w:rPr>
                <w:rFonts w:ascii="Times New Roman" w:hAnsi="Times New Roman" w:cs="Times New Roman"/>
                <w:bCs/>
                <w:sz w:val="24"/>
                <w:szCs w:val="24"/>
                <w:vertAlign w:val="superscript"/>
              </w:rPr>
              <w:t>b</w:t>
            </w:r>
            <w:r w:rsidRPr="0074322C">
              <w:rPr>
                <w:rFonts w:ascii="Times New Roman" w:hAnsi="Times New Roman" w:cs="Times New Roman"/>
                <w:bCs/>
                <w:sz w:val="24"/>
                <w:szCs w:val="24"/>
              </w:rPr>
              <w:t>±0.13</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40.27</w:t>
            </w:r>
            <w:r w:rsidRPr="0074322C">
              <w:rPr>
                <w:rFonts w:ascii="Times New Roman" w:hAnsi="Times New Roman" w:cs="Times New Roman"/>
                <w:sz w:val="24"/>
                <w:szCs w:val="24"/>
                <w:vertAlign w:val="superscript"/>
              </w:rPr>
              <w:t>b</w:t>
            </w:r>
            <w:r w:rsidRPr="0074322C">
              <w:rPr>
                <w:rFonts w:ascii="Times New Roman" w:hAnsi="Times New Roman" w:cs="Times New Roman"/>
                <w:sz w:val="24"/>
                <w:szCs w:val="24"/>
              </w:rPr>
              <w:t>±0.73</w:t>
            </w:r>
          </w:p>
        </w:tc>
        <w:tc>
          <w:tcPr>
            <w:tcW w:w="2160" w:type="dxa"/>
          </w:tcPr>
          <w:p w:rsidR="000226E6" w:rsidRPr="0074322C" w:rsidRDefault="00535C8E" w:rsidP="0074322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16.5</w:t>
            </w:r>
            <w:r w:rsidRPr="00EC3465">
              <w:rPr>
                <w:rFonts w:ascii="Times New Roman" w:hAnsi="Times New Roman" w:cs="Times New Roman"/>
                <w:bCs/>
                <w:sz w:val="24"/>
                <w:szCs w:val="24"/>
                <w:vertAlign w:val="superscript"/>
              </w:rPr>
              <w:t>b</w:t>
            </w:r>
            <w:r w:rsidRPr="0074322C">
              <w:rPr>
                <w:rFonts w:ascii="Times New Roman" w:hAnsi="Times New Roman" w:cs="Times New Roman"/>
                <w:sz w:val="24"/>
                <w:szCs w:val="24"/>
              </w:rPr>
              <w:t>±0.91</w:t>
            </w:r>
          </w:p>
        </w:tc>
      </w:tr>
      <w:tr w:rsidR="000226E6" w:rsidRPr="0074322C" w:rsidTr="00764077">
        <w:tc>
          <w:tcPr>
            <w:tcW w:w="1458" w:type="dxa"/>
          </w:tcPr>
          <w:p w:rsidR="000226E6" w:rsidRPr="0074322C" w:rsidRDefault="000226E6"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3</w:t>
            </w:r>
          </w:p>
        </w:tc>
        <w:tc>
          <w:tcPr>
            <w:tcW w:w="2160" w:type="dxa"/>
          </w:tcPr>
          <w:p w:rsidR="000226E6" w:rsidRPr="0074322C" w:rsidRDefault="00B036EF"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19.8</w:t>
            </w:r>
            <w:r w:rsidR="000226E6" w:rsidRPr="0074322C">
              <w:rPr>
                <w:rFonts w:ascii="Times New Roman" w:hAnsi="Times New Roman" w:cs="Times New Roman"/>
                <w:bCs/>
                <w:sz w:val="24"/>
                <w:szCs w:val="24"/>
              </w:rPr>
              <w:t>0</w:t>
            </w:r>
            <w:r w:rsidR="000226E6" w:rsidRPr="0074322C">
              <w:rPr>
                <w:rFonts w:ascii="Times New Roman" w:hAnsi="Times New Roman" w:cs="Times New Roman"/>
                <w:bCs/>
                <w:sz w:val="24"/>
                <w:szCs w:val="24"/>
                <w:vertAlign w:val="superscript"/>
              </w:rPr>
              <w:t>c</w:t>
            </w:r>
            <w:r w:rsidR="000226E6" w:rsidRPr="0074322C">
              <w:rPr>
                <w:rFonts w:ascii="Times New Roman" w:hAnsi="Times New Roman" w:cs="Times New Roman"/>
                <w:bCs/>
                <w:sz w:val="24"/>
                <w:szCs w:val="24"/>
              </w:rPr>
              <w:t>±0.12</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50.41</w:t>
            </w:r>
            <w:r w:rsidRPr="0074322C">
              <w:rPr>
                <w:rFonts w:ascii="Times New Roman" w:hAnsi="Times New Roman" w:cs="Times New Roman"/>
                <w:sz w:val="24"/>
                <w:szCs w:val="24"/>
                <w:vertAlign w:val="superscript"/>
              </w:rPr>
              <w:t>c</w:t>
            </w:r>
            <w:r w:rsidRPr="0074322C">
              <w:rPr>
                <w:rFonts w:ascii="Times New Roman" w:hAnsi="Times New Roman" w:cs="Times New Roman"/>
                <w:sz w:val="24"/>
                <w:szCs w:val="24"/>
              </w:rPr>
              <w:t>±0.84</w:t>
            </w:r>
          </w:p>
        </w:tc>
        <w:tc>
          <w:tcPr>
            <w:tcW w:w="2160" w:type="dxa"/>
          </w:tcPr>
          <w:p w:rsidR="000226E6" w:rsidRPr="0074322C" w:rsidRDefault="00535C8E" w:rsidP="0074322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19.8</w:t>
            </w:r>
            <w:r w:rsidRPr="00EC3465">
              <w:rPr>
                <w:rFonts w:ascii="Times New Roman" w:hAnsi="Times New Roman" w:cs="Times New Roman"/>
                <w:bCs/>
                <w:sz w:val="24"/>
                <w:szCs w:val="24"/>
                <w:vertAlign w:val="superscript"/>
              </w:rPr>
              <w:t>c</w:t>
            </w:r>
            <w:r w:rsidRPr="0074322C">
              <w:rPr>
                <w:rFonts w:ascii="Times New Roman" w:hAnsi="Times New Roman" w:cs="Times New Roman"/>
                <w:sz w:val="24"/>
                <w:szCs w:val="24"/>
              </w:rPr>
              <w:t>±0.91</w:t>
            </w:r>
          </w:p>
        </w:tc>
      </w:tr>
      <w:tr w:rsidR="000226E6" w:rsidRPr="0074322C" w:rsidTr="00764077">
        <w:tc>
          <w:tcPr>
            <w:tcW w:w="1458" w:type="dxa"/>
          </w:tcPr>
          <w:p w:rsidR="000226E6" w:rsidRPr="0074322C" w:rsidRDefault="00B036EF"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4</w:t>
            </w:r>
          </w:p>
        </w:tc>
        <w:tc>
          <w:tcPr>
            <w:tcW w:w="2160" w:type="dxa"/>
          </w:tcPr>
          <w:p w:rsidR="000226E6" w:rsidRPr="0074322C" w:rsidRDefault="00B036EF"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21.1</w:t>
            </w:r>
            <w:r w:rsidR="00D04454" w:rsidRPr="0074322C">
              <w:rPr>
                <w:rFonts w:ascii="Times New Roman" w:hAnsi="Times New Roman" w:cs="Times New Roman"/>
                <w:bCs/>
                <w:sz w:val="24"/>
                <w:szCs w:val="24"/>
                <w:vertAlign w:val="superscript"/>
              </w:rPr>
              <w:t>d</w:t>
            </w:r>
            <w:r w:rsidR="00131BC5" w:rsidRPr="0074322C">
              <w:rPr>
                <w:rFonts w:ascii="Times New Roman" w:hAnsi="Times New Roman" w:cs="Times New Roman"/>
                <w:bCs/>
                <w:sz w:val="24"/>
                <w:szCs w:val="24"/>
                <w:vertAlign w:val="superscript"/>
              </w:rPr>
              <w:t>c</w:t>
            </w:r>
            <w:r w:rsidR="00D04454" w:rsidRPr="0074322C">
              <w:rPr>
                <w:rFonts w:ascii="Times New Roman" w:hAnsi="Times New Roman" w:cs="Times New Roman"/>
                <w:bCs/>
                <w:sz w:val="24"/>
                <w:szCs w:val="24"/>
              </w:rPr>
              <w:t>±0.09</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52.68</w:t>
            </w:r>
            <w:r w:rsidRPr="0074322C">
              <w:rPr>
                <w:rFonts w:ascii="Times New Roman" w:hAnsi="Times New Roman" w:cs="Times New Roman"/>
                <w:sz w:val="24"/>
                <w:szCs w:val="24"/>
                <w:vertAlign w:val="superscript"/>
              </w:rPr>
              <w:t>c</w:t>
            </w:r>
            <w:r w:rsidRPr="0074322C">
              <w:rPr>
                <w:rFonts w:ascii="Times New Roman" w:hAnsi="Times New Roman" w:cs="Times New Roman"/>
                <w:sz w:val="24"/>
                <w:szCs w:val="24"/>
              </w:rPr>
              <w:t>±0.69</w:t>
            </w:r>
          </w:p>
        </w:tc>
        <w:tc>
          <w:tcPr>
            <w:tcW w:w="2160" w:type="dxa"/>
          </w:tcPr>
          <w:p w:rsidR="000226E6" w:rsidRPr="0074322C" w:rsidRDefault="00535C8E" w:rsidP="0074322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21.1</w:t>
            </w:r>
            <w:r w:rsidR="00EC3465" w:rsidRPr="00EC3465">
              <w:rPr>
                <w:rFonts w:ascii="Times New Roman" w:hAnsi="Times New Roman" w:cs="Times New Roman"/>
                <w:bCs/>
                <w:sz w:val="24"/>
                <w:szCs w:val="24"/>
                <w:vertAlign w:val="superscript"/>
              </w:rPr>
              <w:t>c</w:t>
            </w:r>
            <w:r w:rsidRPr="00EC3465">
              <w:rPr>
                <w:rFonts w:ascii="Times New Roman" w:hAnsi="Times New Roman" w:cs="Times New Roman"/>
                <w:bCs/>
                <w:sz w:val="24"/>
                <w:szCs w:val="24"/>
                <w:vertAlign w:val="superscript"/>
              </w:rPr>
              <w:t>d</w:t>
            </w:r>
            <w:r w:rsidRPr="0074322C">
              <w:rPr>
                <w:rFonts w:ascii="Times New Roman" w:hAnsi="Times New Roman" w:cs="Times New Roman"/>
                <w:sz w:val="24"/>
                <w:szCs w:val="24"/>
              </w:rPr>
              <w:t>±0.91</w:t>
            </w:r>
          </w:p>
        </w:tc>
      </w:tr>
      <w:tr w:rsidR="000226E6" w:rsidRPr="0074322C" w:rsidTr="00764077">
        <w:tc>
          <w:tcPr>
            <w:tcW w:w="1458" w:type="dxa"/>
          </w:tcPr>
          <w:p w:rsidR="000226E6" w:rsidRPr="0074322C" w:rsidRDefault="00B036EF"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5</w:t>
            </w:r>
          </w:p>
        </w:tc>
        <w:tc>
          <w:tcPr>
            <w:tcW w:w="2160" w:type="dxa"/>
          </w:tcPr>
          <w:p w:rsidR="000226E6" w:rsidRPr="0074322C" w:rsidRDefault="00B036EF"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22.3</w:t>
            </w:r>
            <w:r w:rsidR="00D04454" w:rsidRPr="0074322C">
              <w:rPr>
                <w:rFonts w:ascii="Times New Roman" w:hAnsi="Times New Roman" w:cs="Times New Roman"/>
                <w:bCs/>
                <w:sz w:val="24"/>
                <w:szCs w:val="24"/>
                <w:vertAlign w:val="superscript"/>
              </w:rPr>
              <w:t>de</w:t>
            </w:r>
            <w:r w:rsidRPr="0074322C">
              <w:rPr>
                <w:rFonts w:ascii="Times New Roman" w:hAnsi="Times New Roman" w:cs="Times New Roman"/>
                <w:bCs/>
                <w:sz w:val="24"/>
                <w:szCs w:val="24"/>
              </w:rPr>
              <w:t>±0.1</w:t>
            </w:r>
            <w:r w:rsidR="00D04454" w:rsidRPr="0074322C">
              <w:rPr>
                <w:rFonts w:ascii="Times New Roman" w:hAnsi="Times New Roman" w:cs="Times New Roman"/>
                <w:bCs/>
                <w:sz w:val="24"/>
                <w:szCs w:val="24"/>
              </w:rPr>
              <w:t>4</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52.49</w:t>
            </w:r>
            <w:r w:rsidRPr="0074322C">
              <w:rPr>
                <w:rFonts w:ascii="Times New Roman" w:hAnsi="Times New Roman" w:cs="Times New Roman"/>
                <w:sz w:val="24"/>
                <w:szCs w:val="24"/>
                <w:vertAlign w:val="superscript"/>
              </w:rPr>
              <w:t>c</w:t>
            </w:r>
            <w:r w:rsidRPr="0074322C">
              <w:rPr>
                <w:rFonts w:ascii="Times New Roman" w:hAnsi="Times New Roman" w:cs="Times New Roman"/>
                <w:sz w:val="24"/>
                <w:szCs w:val="24"/>
              </w:rPr>
              <w:t>±1.02</w:t>
            </w:r>
          </w:p>
        </w:tc>
        <w:tc>
          <w:tcPr>
            <w:tcW w:w="2160" w:type="dxa"/>
          </w:tcPr>
          <w:p w:rsidR="000226E6" w:rsidRPr="0074322C" w:rsidRDefault="00535C8E" w:rsidP="0074322C">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22.3</w:t>
            </w:r>
            <w:r w:rsidRPr="00EC3465">
              <w:rPr>
                <w:rFonts w:ascii="Times New Roman" w:hAnsi="Times New Roman" w:cs="Times New Roman"/>
                <w:bCs/>
                <w:sz w:val="24"/>
                <w:szCs w:val="24"/>
                <w:vertAlign w:val="superscript"/>
              </w:rPr>
              <w:t>d</w:t>
            </w:r>
            <w:r w:rsidR="00EC3465" w:rsidRPr="00EC3465">
              <w:rPr>
                <w:rFonts w:ascii="Times New Roman" w:hAnsi="Times New Roman" w:cs="Times New Roman"/>
                <w:bCs/>
                <w:sz w:val="24"/>
                <w:szCs w:val="24"/>
                <w:vertAlign w:val="superscript"/>
              </w:rPr>
              <w:t>e</w:t>
            </w:r>
            <w:r w:rsidRPr="0074322C">
              <w:rPr>
                <w:rFonts w:ascii="Times New Roman" w:hAnsi="Times New Roman" w:cs="Times New Roman"/>
                <w:sz w:val="24"/>
                <w:szCs w:val="24"/>
              </w:rPr>
              <w:t>±0.91</w:t>
            </w:r>
          </w:p>
        </w:tc>
      </w:tr>
      <w:tr w:rsidR="000226E6" w:rsidRPr="0074322C" w:rsidTr="00764077">
        <w:tc>
          <w:tcPr>
            <w:tcW w:w="1458" w:type="dxa"/>
          </w:tcPr>
          <w:p w:rsidR="000226E6" w:rsidRPr="0074322C" w:rsidRDefault="00B036EF" w:rsidP="0074322C">
            <w:pPr>
              <w:spacing w:line="480" w:lineRule="auto"/>
              <w:jc w:val="center"/>
              <w:rPr>
                <w:rFonts w:ascii="Times New Roman" w:hAnsi="Times New Roman" w:cs="Times New Roman"/>
                <w:b/>
                <w:bCs/>
                <w:sz w:val="24"/>
                <w:szCs w:val="24"/>
              </w:rPr>
            </w:pPr>
            <w:r w:rsidRPr="0074322C">
              <w:rPr>
                <w:rFonts w:ascii="Times New Roman" w:hAnsi="Times New Roman" w:cs="Times New Roman"/>
                <w:b/>
                <w:bCs/>
                <w:sz w:val="24"/>
                <w:szCs w:val="24"/>
              </w:rPr>
              <w:t>6</w:t>
            </w:r>
          </w:p>
        </w:tc>
        <w:tc>
          <w:tcPr>
            <w:tcW w:w="2160" w:type="dxa"/>
          </w:tcPr>
          <w:p w:rsidR="000226E6" w:rsidRPr="0074322C" w:rsidRDefault="00B036EF" w:rsidP="0074322C">
            <w:pPr>
              <w:spacing w:line="480" w:lineRule="auto"/>
              <w:jc w:val="center"/>
              <w:rPr>
                <w:rFonts w:ascii="Times New Roman" w:hAnsi="Times New Roman" w:cs="Times New Roman"/>
                <w:bCs/>
                <w:sz w:val="24"/>
                <w:szCs w:val="24"/>
              </w:rPr>
            </w:pPr>
            <w:r w:rsidRPr="0074322C">
              <w:rPr>
                <w:rFonts w:ascii="Times New Roman" w:hAnsi="Times New Roman" w:cs="Times New Roman"/>
                <w:bCs/>
                <w:sz w:val="24"/>
                <w:szCs w:val="24"/>
              </w:rPr>
              <w:t>23.1</w:t>
            </w:r>
            <w:r w:rsidR="00D04454" w:rsidRPr="0074322C">
              <w:rPr>
                <w:rFonts w:ascii="Times New Roman" w:hAnsi="Times New Roman" w:cs="Times New Roman"/>
                <w:bCs/>
                <w:sz w:val="24"/>
                <w:szCs w:val="24"/>
                <w:vertAlign w:val="superscript"/>
              </w:rPr>
              <w:t>e</w:t>
            </w:r>
            <w:r w:rsidRPr="0074322C">
              <w:rPr>
                <w:rFonts w:ascii="Times New Roman" w:hAnsi="Times New Roman" w:cs="Times New Roman"/>
                <w:bCs/>
                <w:sz w:val="24"/>
                <w:szCs w:val="24"/>
              </w:rPr>
              <w:t>±0.13</w:t>
            </w:r>
          </w:p>
        </w:tc>
        <w:tc>
          <w:tcPr>
            <w:tcW w:w="2160" w:type="dxa"/>
          </w:tcPr>
          <w:p w:rsidR="000226E6" w:rsidRPr="0074322C" w:rsidRDefault="000226E6" w:rsidP="0074322C">
            <w:pPr>
              <w:autoSpaceDE w:val="0"/>
              <w:autoSpaceDN w:val="0"/>
              <w:adjustRightInd w:val="0"/>
              <w:spacing w:line="480" w:lineRule="auto"/>
              <w:rPr>
                <w:rFonts w:ascii="Times New Roman" w:hAnsi="Times New Roman" w:cs="Times New Roman"/>
                <w:sz w:val="24"/>
                <w:szCs w:val="24"/>
              </w:rPr>
            </w:pPr>
            <w:r w:rsidRPr="0074322C">
              <w:rPr>
                <w:rFonts w:ascii="Times New Roman" w:hAnsi="Times New Roman" w:cs="Times New Roman"/>
                <w:sz w:val="24"/>
                <w:szCs w:val="24"/>
              </w:rPr>
              <w:t>51.88</w:t>
            </w:r>
            <w:r w:rsidRPr="0074322C">
              <w:rPr>
                <w:rFonts w:ascii="Times New Roman" w:hAnsi="Times New Roman" w:cs="Times New Roman"/>
                <w:sz w:val="24"/>
                <w:szCs w:val="24"/>
                <w:vertAlign w:val="superscript"/>
              </w:rPr>
              <w:t>c</w:t>
            </w:r>
            <w:r w:rsidRPr="0074322C">
              <w:rPr>
                <w:rFonts w:ascii="Times New Roman" w:hAnsi="Times New Roman" w:cs="Times New Roman"/>
                <w:sz w:val="24"/>
                <w:szCs w:val="24"/>
              </w:rPr>
              <w:t>±0.77</w:t>
            </w:r>
          </w:p>
        </w:tc>
        <w:tc>
          <w:tcPr>
            <w:tcW w:w="2160" w:type="dxa"/>
          </w:tcPr>
          <w:p w:rsidR="000226E6" w:rsidRPr="0074322C" w:rsidRDefault="00535C8E" w:rsidP="00535C8E">
            <w:pPr>
              <w:spacing w:line="480" w:lineRule="auto"/>
              <w:jc w:val="center"/>
              <w:rPr>
                <w:rFonts w:ascii="Times New Roman" w:hAnsi="Times New Roman" w:cs="Times New Roman"/>
                <w:bCs/>
                <w:sz w:val="24"/>
                <w:szCs w:val="24"/>
              </w:rPr>
            </w:pPr>
            <w:r>
              <w:rPr>
                <w:rFonts w:ascii="Times New Roman" w:hAnsi="Times New Roman" w:cs="Times New Roman"/>
                <w:bCs/>
                <w:sz w:val="24"/>
                <w:szCs w:val="24"/>
              </w:rPr>
              <w:t>23.1</w:t>
            </w:r>
            <w:r w:rsidRPr="00EC3465">
              <w:rPr>
                <w:rFonts w:ascii="Times New Roman" w:hAnsi="Times New Roman" w:cs="Times New Roman"/>
                <w:bCs/>
                <w:sz w:val="24"/>
                <w:szCs w:val="24"/>
                <w:vertAlign w:val="superscript"/>
              </w:rPr>
              <w:t>e</w:t>
            </w:r>
            <w:r w:rsidRPr="0074322C">
              <w:rPr>
                <w:rFonts w:ascii="Times New Roman" w:hAnsi="Times New Roman" w:cs="Times New Roman"/>
                <w:sz w:val="24"/>
                <w:szCs w:val="24"/>
              </w:rPr>
              <w:t>±0.91</w:t>
            </w:r>
          </w:p>
        </w:tc>
      </w:tr>
    </w:tbl>
    <w:p w:rsidR="002159A5" w:rsidRPr="0074322C" w:rsidRDefault="002159A5" w:rsidP="0074322C">
      <w:pPr>
        <w:spacing w:after="0" w:line="480" w:lineRule="auto"/>
        <w:rPr>
          <w:rFonts w:ascii="Times New Roman" w:hAnsi="Times New Roman" w:cs="Times New Roman"/>
          <w:bCs/>
          <w:sz w:val="24"/>
          <w:szCs w:val="24"/>
        </w:rPr>
      </w:pPr>
      <w:r w:rsidRPr="0074322C">
        <w:rPr>
          <w:rFonts w:ascii="Times New Roman" w:hAnsi="Times New Roman" w:cs="Times New Roman"/>
          <w:bCs/>
          <w:sz w:val="24"/>
          <w:szCs w:val="24"/>
        </w:rPr>
        <w:t xml:space="preserve">Mean±SE with different small letters superscripts column wise differ significantly (p≤0.05) </w:t>
      </w:r>
    </w:p>
    <w:p w:rsidR="00120EAD" w:rsidRPr="0074322C" w:rsidRDefault="00120EAD" w:rsidP="0074322C">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 xml:space="preserve">DH for each enzyme increased with increase in time of hydrolysis from </w:t>
      </w:r>
      <w:r w:rsidR="00F76C86" w:rsidRPr="0074322C">
        <w:rPr>
          <w:rFonts w:ascii="Times New Roman" w:hAnsi="Times New Roman" w:cs="Times New Roman"/>
          <w:sz w:val="24"/>
          <w:szCs w:val="24"/>
        </w:rPr>
        <w:t>1 hr</w:t>
      </w:r>
      <w:r w:rsidRPr="0074322C">
        <w:rPr>
          <w:rFonts w:ascii="Times New Roman" w:hAnsi="Times New Roman" w:cs="Times New Roman"/>
          <w:sz w:val="24"/>
          <w:szCs w:val="24"/>
        </w:rPr>
        <w:t xml:space="preserve"> to </w:t>
      </w:r>
      <w:r w:rsidR="00F76C86" w:rsidRPr="0074322C">
        <w:rPr>
          <w:rFonts w:ascii="Times New Roman" w:hAnsi="Times New Roman" w:cs="Times New Roman"/>
          <w:sz w:val="24"/>
          <w:szCs w:val="24"/>
        </w:rPr>
        <w:t>6 hrs</w:t>
      </w:r>
      <w:r w:rsidRPr="0074322C">
        <w:rPr>
          <w:rFonts w:ascii="Times New Roman" w:hAnsi="Times New Roman" w:cs="Times New Roman"/>
          <w:sz w:val="24"/>
          <w:szCs w:val="24"/>
        </w:rPr>
        <w:t xml:space="preserve">. It was observed that trypsin </w:t>
      </w:r>
      <w:r w:rsidR="00F76C86" w:rsidRPr="0074322C">
        <w:rPr>
          <w:rFonts w:ascii="Times New Roman" w:hAnsi="Times New Roman" w:cs="Times New Roman"/>
          <w:sz w:val="24"/>
          <w:szCs w:val="24"/>
        </w:rPr>
        <w:t xml:space="preserve">enzyme till </w:t>
      </w:r>
      <w:r w:rsidR="00E74B62">
        <w:rPr>
          <w:rFonts w:ascii="Times New Roman" w:hAnsi="Times New Roman" w:cs="Times New Roman"/>
          <w:sz w:val="24"/>
          <w:szCs w:val="24"/>
        </w:rPr>
        <w:t>4</w:t>
      </w:r>
      <w:r w:rsidR="00C43F18" w:rsidRPr="0074322C">
        <w:rPr>
          <w:rFonts w:ascii="Times New Roman" w:hAnsi="Times New Roman" w:cs="Times New Roman"/>
          <w:sz w:val="24"/>
          <w:szCs w:val="24"/>
        </w:rPr>
        <w:t xml:space="preserve"> </w:t>
      </w:r>
      <w:r w:rsidR="00131BC5" w:rsidRPr="0074322C">
        <w:rPr>
          <w:rFonts w:ascii="Times New Roman" w:hAnsi="Times New Roman" w:cs="Times New Roman"/>
          <w:sz w:val="24"/>
          <w:szCs w:val="24"/>
        </w:rPr>
        <w:t>hrs</w:t>
      </w:r>
      <w:r w:rsidR="00F76C86" w:rsidRPr="0074322C">
        <w:rPr>
          <w:rFonts w:ascii="Times New Roman" w:hAnsi="Times New Roman" w:cs="Times New Roman"/>
          <w:sz w:val="24"/>
          <w:szCs w:val="24"/>
        </w:rPr>
        <w:t xml:space="preserve"> (2</w:t>
      </w:r>
      <w:r w:rsidR="00E74B62">
        <w:rPr>
          <w:rFonts w:ascii="Times New Roman" w:hAnsi="Times New Roman" w:cs="Times New Roman"/>
          <w:sz w:val="24"/>
          <w:szCs w:val="24"/>
        </w:rPr>
        <w:t>1</w:t>
      </w:r>
      <w:r w:rsidR="00F76C86" w:rsidRPr="0074322C">
        <w:rPr>
          <w:rFonts w:ascii="Times New Roman" w:hAnsi="Times New Roman" w:cs="Times New Roman"/>
          <w:sz w:val="24"/>
          <w:szCs w:val="24"/>
        </w:rPr>
        <w:t>.</w:t>
      </w:r>
      <w:r w:rsidR="00652AC1">
        <w:rPr>
          <w:rFonts w:ascii="Times New Roman" w:hAnsi="Times New Roman" w:cs="Times New Roman"/>
          <w:sz w:val="24"/>
          <w:szCs w:val="24"/>
        </w:rPr>
        <w:t>1</w:t>
      </w:r>
      <w:r w:rsidR="00F76C86" w:rsidRPr="0074322C">
        <w:rPr>
          <w:rFonts w:ascii="Times New Roman" w:hAnsi="Times New Roman" w:cs="Times New Roman"/>
          <w:sz w:val="24"/>
          <w:szCs w:val="24"/>
        </w:rPr>
        <w:t xml:space="preserve">%) </w:t>
      </w:r>
      <w:r w:rsidRPr="0074322C">
        <w:rPr>
          <w:rFonts w:ascii="Times New Roman" w:hAnsi="Times New Roman" w:cs="Times New Roman"/>
          <w:sz w:val="24"/>
          <w:szCs w:val="24"/>
        </w:rPr>
        <w:t xml:space="preserve">produced peptides with increased degree of hydrolysis significantly, but after these selected times, there was no significant increase in DH of the entire enzymes. Kumar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(2016) also reported that the rate of DH increased linearly up to 2 h; thereafter, the rate of DH decreased and, subsequently, it got stabilized in </w:t>
      </w:r>
      <w:r w:rsidRPr="0074322C">
        <w:rPr>
          <w:rFonts w:ascii="Times New Roman" w:hAnsi="Times New Roman" w:cs="Times New Roman"/>
          <w:color w:val="131413"/>
          <w:sz w:val="24"/>
          <w:szCs w:val="24"/>
        </w:rPr>
        <w:t>camel milk casein hydrolyses with different enzymes</w:t>
      </w:r>
      <w:r w:rsidRPr="0074322C">
        <w:rPr>
          <w:rFonts w:ascii="Times New Roman" w:hAnsi="Times New Roman" w:cs="Times New Roman"/>
          <w:sz w:val="24"/>
          <w:szCs w:val="24"/>
        </w:rPr>
        <w:t xml:space="preserve">. The reduction in hydrolysis rate over time may indicate the decreased availability of cleavable peptide bonds within the substrate. </w:t>
      </w:r>
    </w:p>
    <w:p w:rsidR="008A0EA3" w:rsidRPr="0074322C" w:rsidRDefault="008A0EA3" w:rsidP="0074322C">
      <w:pPr>
        <w:autoSpaceDE w:val="0"/>
        <w:autoSpaceDN w:val="0"/>
        <w:adjustRightInd w:val="0"/>
        <w:spacing w:after="0" w:line="480" w:lineRule="auto"/>
        <w:ind w:firstLine="720"/>
        <w:jc w:val="both"/>
        <w:rPr>
          <w:rFonts w:ascii="Times New Roman" w:hAnsi="Times New Roman" w:cs="Times New Roman"/>
          <w:color w:val="131413"/>
          <w:sz w:val="24"/>
          <w:szCs w:val="24"/>
        </w:rPr>
      </w:pPr>
      <w:r w:rsidRPr="0074322C">
        <w:rPr>
          <w:rFonts w:ascii="Times New Roman" w:hAnsi="Times New Roman" w:cs="Times New Roman"/>
          <w:color w:val="131413"/>
          <w:sz w:val="24"/>
          <w:szCs w:val="24"/>
        </w:rPr>
        <w:t xml:space="preserve">The ABTS radical-scavenging activity increased significantly (P&lt;0.05) with the advancement of hydrolysis time up to </w:t>
      </w:r>
      <w:r w:rsidR="00E74B62">
        <w:rPr>
          <w:rFonts w:ascii="Times New Roman" w:hAnsi="Times New Roman" w:cs="Times New Roman"/>
          <w:color w:val="131413"/>
          <w:sz w:val="24"/>
          <w:szCs w:val="24"/>
        </w:rPr>
        <w:t>4</w:t>
      </w:r>
      <w:r w:rsidRPr="0074322C">
        <w:rPr>
          <w:rFonts w:ascii="Times New Roman" w:hAnsi="Times New Roman" w:cs="Times New Roman"/>
          <w:color w:val="131413"/>
          <w:sz w:val="24"/>
          <w:szCs w:val="24"/>
        </w:rPr>
        <w:t xml:space="preserve"> h</w:t>
      </w:r>
      <w:r w:rsidR="00C43F18" w:rsidRPr="0074322C">
        <w:rPr>
          <w:rFonts w:ascii="Times New Roman" w:hAnsi="Times New Roman" w:cs="Times New Roman"/>
          <w:color w:val="131413"/>
          <w:sz w:val="24"/>
          <w:szCs w:val="24"/>
        </w:rPr>
        <w:t>rs for trypsin GMWPH.</w:t>
      </w:r>
      <w:r w:rsidRPr="0074322C">
        <w:rPr>
          <w:rFonts w:ascii="Times New Roman" w:hAnsi="Times New Roman" w:cs="Times New Roman"/>
          <w:color w:val="131413"/>
          <w:sz w:val="24"/>
          <w:szCs w:val="24"/>
        </w:rPr>
        <w:t xml:space="preserve"> Similar reports were documented by Kumar </w:t>
      </w:r>
      <w:r w:rsidRPr="0074322C">
        <w:rPr>
          <w:rFonts w:ascii="Times New Roman" w:hAnsi="Times New Roman" w:cs="Times New Roman"/>
          <w:i/>
          <w:color w:val="131413"/>
          <w:sz w:val="24"/>
          <w:szCs w:val="24"/>
        </w:rPr>
        <w:t>et al</w:t>
      </w:r>
      <w:r w:rsidRPr="0074322C">
        <w:rPr>
          <w:rFonts w:ascii="Times New Roman" w:hAnsi="Times New Roman" w:cs="Times New Roman"/>
          <w:color w:val="131413"/>
          <w:sz w:val="24"/>
          <w:szCs w:val="24"/>
        </w:rPr>
        <w:t xml:space="preserve">. (2016). These findings were also in accordance with the findings of </w:t>
      </w:r>
      <w:r w:rsidRPr="0074322C">
        <w:rPr>
          <w:rFonts w:ascii="Times New Roman" w:hAnsi="Times New Roman" w:cs="Times New Roman"/>
          <w:color w:val="000000" w:themeColor="text1"/>
          <w:sz w:val="24"/>
          <w:szCs w:val="24"/>
        </w:rPr>
        <w:lastRenderedPageBreak/>
        <w:t xml:space="preserve">Salami </w:t>
      </w:r>
      <w:r w:rsidRPr="0074322C">
        <w:rPr>
          <w:rFonts w:ascii="Times New Roman" w:hAnsi="Times New Roman" w:cs="Times New Roman"/>
          <w:i/>
          <w:color w:val="000000" w:themeColor="text1"/>
          <w:sz w:val="24"/>
          <w:szCs w:val="24"/>
        </w:rPr>
        <w:t>et al</w:t>
      </w:r>
      <w:r w:rsidRPr="0074322C">
        <w:rPr>
          <w:rFonts w:ascii="Times New Roman" w:hAnsi="Times New Roman" w:cs="Times New Roman"/>
          <w:color w:val="000000" w:themeColor="text1"/>
          <w:sz w:val="24"/>
          <w:szCs w:val="24"/>
        </w:rPr>
        <w:t>. (2011) who also</w:t>
      </w:r>
      <w:r w:rsidRPr="0074322C">
        <w:rPr>
          <w:rFonts w:ascii="Times New Roman" w:hAnsi="Times New Roman" w:cs="Times New Roman"/>
          <w:color w:val="131413"/>
          <w:sz w:val="24"/>
          <w:szCs w:val="24"/>
        </w:rPr>
        <w:t xml:space="preserve"> reported higher antioxidant activity of camel milk casein hydrolysates upon digestion with gastrointestinal enzymes</w:t>
      </w:r>
      <w:r w:rsidR="00CC65EC" w:rsidRPr="0074322C">
        <w:rPr>
          <w:rFonts w:ascii="Times New Roman" w:hAnsi="Times New Roman" w:cs="Times New Roman"/>
          <w:color w:val="131413"/>
          <w:sz w:val="24"/>
          <w:szCs w:val="24"/>
        </w:rPr>
        <w:t>.</w:t>
      </w:r>
    </w:p>
    <w:p w:rsidR="00664758" w:rsidRDefault="00664758" w:rsidP="0074322C">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4322C">
        <w:rPr>
          <w:rFonts w:ascii="Times New Roman" w:hAnsi="Times New Roman" w:cs="Times New Roman"/>
          <w:sz w:val="24"/>
          <w:szCs w:val="24"/>
        </w:rPr>
        <w:t xml:space="preserve">These results indicated that the degree of hydrolyzation by </w:t>
      </w:r>
      <w:r w:rsidR="001D5E8E" w:rsidRPr="0074322C">
        <w:rPr>
          <w:rFonts w:ascii="Times New Roman" w:hAnsi="Times New Roman" w:cs="Times New Roman"/>
          <w:sz w:val="24"/>
          <w:szCs w:val="24"/>
        </w:rPr>
        <w:t>trypsin</w:t>
      </w:r>
      <w:r w:rsidRPr="0074322C">
        <w:rPr>
          <w:rFonts w:ascii="Times New Roman" w:hAnsi="Times New Roman" w:cs="Times New Roman"/>
          <w:sz w:val="24"/>
          <w:szCs w:val="24"/>
        </w:rPr>
        <w:t xml:space="preserve"> enzyme treatment influences the Ca-chelating activity within </w:t>
      </w:r>
      <w:r w:rsidR="001D5E8E" w:rsidRPr="0074322C">
        <w:rPr>
          <w:rFonts w:ascii="Times New Roman" w:hAnsi="Times New Roman" w:cs="Times New Roman"/>
          <w:sz w:val="24"/>
          <w:szCs w:val="24"/>
        </w:rPr>
        <w:t>4</w:t>
      </w:r>
      <w:r w:rsidRPr="0074322C">
        <w:rPr>
          <w:rFonts w:ascii="Times New Roman" w:hAnsi="Times New Roman" w:cs="Times New Roman"/>
          <w:sz w:val="24"/>
          <w:szCs w:val="24"/>
        </w:rPr>
        <w:t xml:space="preserve"> hrs of the obtained GMWPH. After that, DH and Ca-chelating activity did not increase significantly in </w:t>
      </w:r>
      <w:r w:rsidR="001D5E8E" w:rsidRPr="0074322C">
        <w:rPr>
          <w:rFonts w:ascii="Times New Roman" w:hAnsi="Times New Roman" w:cs="Times New Roman"/>
          <w:sz w:val="24"/>
          <w:szCs w:val="24"/>
        </w:rPr>
        <w:t>trypsin</w:t>
      </w:r>
      <w:r w:rsidRPr="0074322C">
        <w:rPr>
          <w:rFonts w:ascii="Times New Roman" w:hAnsi="Times New Roman" w:cs="Times New Roman"/>
          <w:sz w:val="24"/>
          <w:szCs w:val="24"/>
        </w:rPr>
        <w:t xml:space="preserve"> treated hydrolysates. If the hydrolysis time was prolonged after 4 hrs, there was no significant further increase in Ca-chelating ability, which meant that DH played an important role in the chelating reaction between GMWPH and Ca ions. Xixi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(2015) also indicate that the degree of enzyme treatment influences the Ca-chelating activity of the obtained WPH. A similar result was reported that yak casein hydrolysate had highest Zn-chelating capacity at DH 22.8 % and if the hydrolysis time was too long, the Zn-chelating ability decreased (Fiorillia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2009). Zhao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(2014) explained that the major binding sites included oxygen atom of the carbonyl group and nitrogen of amino group or imino group; structural modifications of the peptide arose with the addition of calcium ion. Saini </w:t>
      </w:r>
      <w:r w:rsidRPr="0074322C">
        <w:rPr>
          <w:rFonts w:ascii="Times New Roman" w:hAnsi="Times New Roman" w:cs="Times New Roman"/>
          <w:i/>
          <w:sz w:val="24"/>
          <w:szCs w:val="24"/>
        </w:rPr>
        <w:t>et al.</w:t>
      </w:r>
      <w:r w:rsidRPr="0074322C">
        <w:rPr>
          <w:rFonts w:ascii="Times New Roman" w:hAnsi="Times New Roman" w:cs="Times New Roman"/>
          <w:sz w:val="24"/>
          <w:szCs w:val="24"/>
        </w:rPr>
        <w:t xml:space="preserve"> (2014) found that calcium binding ability of CPPs was 0·934 mg calcium/mg of CPPs. </w:t>
      </w:r>
      <w:r w:rsidRPr="0074322C">
        <w:rPr>
          <w:rFonts w:ascii="Times New Roman" w:hAnsi="Times New Roman" w:cs="Times New Roman"/>
          <w:color w:val="000000"/>
          <w:sz w:val="24"/>
          <w:szCs w:val="24"/>
        </w:rPr>
        <w:t xml:space="preserve">Corsetti </w:t>
      </w:r>
      <w:r w:rsidRPr="0074322C">
        <w:rPr>
          <w:rFonts w:ascii="Times New Roman" w:hAnsi="Times New Roman" w:cs="Times New Roman"/>
          <w:i/>
          <w:color w:val="000000"/>
          <w:sz w:val="24"/>
          <w:szCs w:val="24"/>
        </w:rPr>
        <w:t>et al</w:t>
      </w:r>
      <w:r w:rsidRPr="0074322C">
        <w:rPr>
          <w:rFonts w:ascii="Times New Roman" w:hAnsi="Times New Roman" w:cs="Times New Roman"/>
          <w:color w:val="000000" w:themeColor="text1"/>
          <w:sz w:val="24"/>
          <w:szCs w:val="24"/>
        </w:rPr>
        <w:t>. (2003) observed</w:t>
      </w:r>
      <w:r w:rsidRPr="0074322C">
        <w:rPr>
          <w:rFonts w:ascii="Times New Roman" w:hAnsi="Times New Roman" w:cs="Times New Roman"/>
          <w:color w:val="000000"/>
          <w:sz w:val="24"/>
          <w:szCs w:val="24"/>
        </w:rPr>
        <w:t xml:space="preserve"> that the calcium binding ability of CPPs isolated from various species varies from 0·4 to 1·4 mg calcium/mg CPPs. Their results also showed that goat milk hydrolysates have higher calcium binding activity than human and sheep milk.</w:t>
      </w:r>
    </w:p>
    <w:p w:rsidR="00887B0E" w:rsidRPr="0074322C" w:rsidRDefault="00887B0E" w:rsidP="0074322C">
      <w:pPr>
        <w:autoSpaceDE w:val="0"/>
        <w:autoSpaceDN w:val="0"/>
        <w:adjustRightInd w:val="0"/>
        <w:spacing w:after="0" w:line="480" w:lineRule="auto"/>
        <w:ind w:firstLine="720"/>
        <w:jc w:val="both"/>
        <w:rPr>
          <w:rFonts w:ascii="Times New Roman" w:hAnsi="Times New Roman" w:cs="Times New Roman"/>
          <w:sz w:val="24"/>
          <w:szCs w:val="24"/>
        </w:rPr>
      </w:pPr>
    </w:p>
    <w:p w:rsidR="00664758" w:rsidRDefault="002E67D6" w:rsidP="00887B0E">
      <w:pPr>
        <w:spacing w:line="480" w:lineRule="auto"/>
        <w:jc w:val="center"/>
        <w:rPr>
          <w:rFonts w:ascii="Times New Roman" w:eastAsiaTheme="minorHAnsi" w:hAnsi="Times New Roman" w:cs="Times New Roman"/>
          <w:b/>
          <w:sz w:val="24"/>
          <w:szCs w:val="24"/>
        </w:rPr>
      </w:pPr>
      <w:r w:rsidRPr="00887B0E">
        <w:rPr>
          <w:rFonts w:ascii="Times New Roman" w:eastAsiaTheme="minorHAnsi" w:hAnsi="Times New Roman" w:cs="Times New Roman"/>
          <w:b/>
          <w:sz w:val="24"/>
          <w:szCs w:val="24"/>
        </w:rPr>
        <w:t>CONCLUSION</w:t>
      </w:r>
    </w:p>
    <w:p w:rsidR="00887B0E" w:rsidRPr="0074322C" w:rsidRDefault="00887B0E" w:rsidP="00887B0E">
      <w:pPr>
        <w:autoSpaceDE w:val="0"/>
        <w:autoSpaceDN w:val="0"/>
        <w:adjustRightInd w:val="0"/>
        <w:spacing w:after="0" w:line="480" w:lineRule="auto"/>
        <w:ind w:firstLine="720"/>
        <w:jc w:val="both"/>
        <w:rPr>
          <w:rFonts w:ascii="Times New Roman" w:hAnsi="Times New Roman" w:cs="Times New Roman"/>
          <w:sz w:val="24"/>
          <w:szCs w:val="24"/>
        </w:rPr>
      </w:pPr>
      <w:r w:rsidRPr="0074322C">
        <w:rPr>
          <w:rFonts w:ascii="Times New Roman" w:hAnsi="Times New Roman" w:cs="Times New Roman"/>
          <w:sz w:val="24"/>
          <w:szCs w:val="24"/>
        </w:rPr>
        <w:t xml:space="preserve">Hydrolysis </w:t>
      </w:r>
      <w:r w:rsidR="005F5FD3">
        <w:rPr>
          <w:rFonts w:ascii="Times New Roman" w:hAnsi="Times New Roman" w:cs="Times New Roman"/>
          <w:sz w:val="24"/>
          <w:szCs w:val="24"/>
        </w:rPr>
        <w:t xml:space="preserve">of goat milk whey protein </w:t>
      </w:r>
      <w:r w:rsidRPr="0074322C">
        <w:rPr>
          <w:rFonts w:ascii="Times New Roman" w:hAnsi="Times New Roman" w:cs="Times New Roman"/>
          <w:sz w:val="24"/>
          <w:szCs w:val="24"/>
        </w:rPr>
        <w:t>with trypsin resulted in a significant increase in antioxidant and Ca</w:t>
      </w:r>
      <w:r w:rsidRPr="0074322C">
        <w:rPr>
          <w:rFonts w:ascii="Times New Roman" w:hAnsi="Times New Roman" w:cs="Times New Roman"/>
          <w:sz w:val="24"/>
          <w:szCs w:val="24"/>
          <w:vertAlign w:val="superscript"/>
        </w:rPr>
        <w:t>+</w:t>
      </w:r>
      <w:r w:rsidRPr="0074322C">
        <w:rPr>
          <w:rFonts w:ascii="Times New Roman" w:hAnsi="Times New Roman" w:cs="Times New Roman"/>
          <w:sz w:val="24"/>
          <w:szCs w:val="24"/>
        </w:rPr>
        <w:t xml:space="preserve"> chelation property. Hence, the GMWPH may be useful for development of novel foods for infants, and the elderly osteoporosis patients to replace cow milk</w:t>
      </w:r>
      <w:r w:rsidR="005F5FD3">
        <w:rPr>
          <w:rFonts w:ascii="Times New Roman" w:hAnsi="Times New Roman" w:cs="Times New Roman"/>
          <w:sz w:val="24"/>
          <w:szCs w:val="24"/>
        </w:rPr>
        <w:t xml:space="preserve"> hydrolysates</w:t>
      </w:r>
      <w:r w:rsidRPr="0074322C">
        <w:rPr>
          <w:rFonts w:ascii="Times New Roman" w:hAnsi="Times New Roman" w:cs="Times New Roman"/>
          <w:sz w:val="24"/>
          <w:szCs w:val="24"/>
        </w:rPr>
        <w:t>.</w:t>
      </w:r>
    </w:p>
    <w:p w:rsidR="006C4256" w:rsidRPr="0074322C" w:rsidRDefault="006C4256" w:rsidP="0074322C">
      <w:pPr>
        <w:spacing w:line="480" w:lineRule="auto"/>
        <w:rPr>
          <w:rFonts w:ascii="Times New Roman" w:eastAsiaTheme="minorHAnsi" w:hAnsi="Times New Roman" w:cs="Times New Roman"/>
          <w:sz w:val="24"/>
          <w:szCs w:val="24"/>
        </w:rPr>
      </w:pPr>
    </w:p>
    <w:p w:rsidR="00887B0E" w:rsidRPr="005F21BB" w:rsidRDefault="00887B0E" w:rsidP="00887B0E">
      <w:pPr>
        <w:pStyle w:val="NormalWeb"/>
        <w:spacing w:before="0" w:beforeAutospacing="0" w:after="0" w:afterAutospacing="0" w:line="480" w:lineRule="auto"/>
        <w:jc w:val="center"/>
        <w:rPr>
          <w:b/>
        </w:rPr>
      </w:pPr>
      <w:r w:rsidRPr="005F21BB">
        <w:rPr>
          <w:b/>
        </w:rPr>
        <w:t>REFERENCES</w:t>
      </w:r>
    </w:p>
    <w:p w:rsidR="00AC2901" w:rsidRPr="00FE060C" w:rsidRDefault="00AC2901" w:rsidP="00FE060C">
      <w:pPr>
        <w:widowControl w:val="0"/>
        <w:autoSpaceDE w:val="0"/>
        <w:autoSpaceDN w:val="0"/>
        <w:adjustRightInd w:val="0"/>
        <w:spacing w:after="0" w:line="360" w:lineRule="auto"/>
        <w:ind w:left="720" w:right="63" w:hanging="720"/>
        <w:jc w:val="both"/>
        <w:rPr>
          <w:rFonts w:ascii="Times New Roman" w:hAnsi="Times New Roman" w:cs="Times New Roman"/>
          <w:sz w:val="24"/>
          <w:szCs w:val="24"/>
        </w:rPr>
      </w:pPr>
      <w:r w:rsidRPr="00FE060C">
        <w:rPr>
          <w:rFonts w:ascii="Times New Roman" w:hAnsi="Times New Roman" w:cs="Times New Roman"/>
          <w:sz w:val="24"/>
          <w:szCs w:val="24"/>
        </w:rPr>
        <w:t>Agnihotri, M. K., and Prasad, V. S. S. (1993). Biochemistry and processing of goat milk and milk products. </w:t>
      </w:r>
      <w:r w:rsidRPr="00FE060C">
        <w:rPr>
          <w:rFonts w:ascii="Times New Roman" w:hAnsi="Times New Roman" w:cs="Times New Roman"/>
          <w:i/>
          <w:sz w:val="24"/>
          <w:szCs w:val="24"/>
        </w:rPr>
        <w:t>Small Ruminant Research</w:t>
      </w:r>
      <w:r w:rsidRPr="00FE060C">
        <w:rPr>
          <w:rFonts w:ascii="Times New Roman" w:hAnsi="Times New Roman" w:cs="Times New Roman"/>
          <w:sz w:val="24"/>
          <w:szCs w:val="24"/>
        </w:rPr>
        <w:t>, 12(2), 151-170.</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Anderson, J.J.B. and Garner, S.C. (1996). Calcium and phosphorous nutrition in health and disease: Introduction. In: Calcium and Phosphorous in Health and Disease. CRC Press: New York, NY, Pp. 1–5.</w:t>
      </w:r>
    </w:p>
    <w:p w:rsidR="00AC2901" w:rsidRPr="00FE060C" w:rsidRDefault="00AC2901" w:rsidP="00FE060C">
      <w:pPr>
        <w:tabs>
          <w:tab w:val="left" w:pos="720"/>
          <w:tab w:val="left" w:pos="1080"/>
        </w:tabs>
        <w:spacing w:after="0" w:line="360" w:lineRule="auto"/>
        <w:ind w:left="720" w:right="29" w:hanging="720"/>
        <w:jc w:val="both"/>
        <w:rPr>
          <w:rFonts w:ascii="Times New Roman" w:hAnsi="Times New Roman" w:cs="Times New Roman"/>
          <w:sz w:val="24"/>
          <w:szCs w:val="24"/>
        </w:rPr>
      </w:pPr>
      <w:r w:rsidRPr="00FE060C">
        <w:rPr>
          <w:rFonts w:ascii="Times New Roman" w:hAnsi="Times New Roman" w:cs="Times New Roman"/>
          <w:sz w:val="24"/>
          <w:szCs w:val="24"/>
        </w:rPr>
        <w:t>AOAC. (2007). Official Methods of Analysis. 18th ed. Association of Official Analytical Chemists, Washington DC.</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Balk, E. M., Adam, G. P., Langberg, V. N., Earley, A., Clark, P., Ebeling &amp; Dawson-Hughes, B. (2017). Global dietary calcium intake among adults: a systematic review. Osteoporosis International, 28(12), 3315-3324.</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Beulens, J. W., Bindels, J. G., De Graaf, C., Alles, M. S., &amp;Wouters-Wesseling, W. (2004). Alpha-lactalbumin combined with a regular diet increases plasma Trp–LNAA ratio. Physiology &amp;behavior, 81(4), 585-593.</w:t>
      </w:r>
    </w:p>
    <w:p w:rsidR="00AC2901" w:rsidRDefault="00AC2901" w:rsidP="00AC2901">
      <w:pPr>
        <w:widowControl w:val="0"/>
        <w:autoSpaceDE w:val="0"/>
        <w:autoSpaceDN w:val="0"/>
        <w:adjustRightInd w:val="0"/>
        <w:spacing w:after="0" w:line="360" w:lineRule="auto"/>
        <w:ind w:left="720" w:right="63" w:hanging="720"/>
        <w:jc w:val="both"/>
        <w:rPr>
          <w:rFonts w:ascii="Times New Roman" w:hAnsi="Times New Roman" w:cs="Times New Roman"/>
          <w:sz w:val="24"/>
          <w:szCs w:val="24"/>
        </w:rPr>
      </w:pPr>
      <w:r w:rsidRPr="00FE060C">
        <w:rPr>
          <w:rFonts w:ascii="Times New Roman" w:hAnsi="Times New Roman" w:cs="Times New Roman"/>
          <w:sz w:val="24"/>
          <w:szCs w:val="24"/>
        </w:rPr>
        <w:t>Diaz-Castro, J., Perez-Sanchez, L.J., Lopez-Frias, M.R. and Lopez-Aliaga, I. (2011). Influence of cow or goat milk consumption on antioxidant defense and lipid per oxidation during chronic iron repletion. The British J. Nutri.108(1): 1-8. DOI: </w:t>
      </w:r>
      <w:hyperlink r:id="rId15" w:tgtFrame="_blank" w:history="1">
        <w:r w:rsidRPr="00FE060C">
          <w:rPr>
            <w:rFonts w:ascii="Times New Roman" w:hAnsi="Times New Roman" w:cs="Times New Roman"/>
            <w:sz w:val="24"/>
            <w:szCs w:val="24"/>
          </w:rPr>
          <w:t>10.1017/S0007114511005204</w:t>
        </w:r>
      </w:hyperlink>
      <w:r w:rsidRPr="00FE060C">
        <w:rPr>
          <w:rFonts w:ascii="Times New Roman" w:hAnsi="Times New Roman" w:cs="Times New Roman"/>
          <w:sz w:val="24"/>
          <w:szCs w:val="24"/>
        </w:rPr>
        <w:t>.</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Graveland-Bikker, J. F., Schaap, I. A. T., Schmidt, C. F., &amp; De Kruif, C. G. (2006). Structural and mechanical study of a self-assembling protein nanotube. Nano letters, 6(4), 616-621.</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Kalyan, S., Meena, S., Kapila, S., Sowmya, K., &amp; Kumar, R. (2018). Evaluation of goat milk fat and goat milk casein fraction for anti-hypercholesterolaemic and antioxidative properties in hypercholesterolaemic rats. International Dairy Journal, 84, 23-27</w:t>
      </w:r>
    </w:p>
    <w:p w:rsidR="00AC2901" w:rsidRPr="00FE060C" w:rsidRDefault="00AC2901" w:rsidP="00FE060C">
      <w:pPr>
        <w:tabs>
          <w:tab w:val="left" w:pos="720"/>
        </w:tabs>
        <w:spacing w:after="0" w:line="360" w:lineRule="auto"/>
        <w:ind w:left="720" w:right="29" w:hanging="720"/>
        <w:jc w:val="both"/>
        <w:rPr>
          <w:rFonts w:ascii="Times New Roman" w:hAnsi="Times New Roman" w:cs="Times New Roman"/>
          <w:sz w:val="24"/>
          <w:szCs w:val="24"/>
        </w:rPr>
      </w:pPr>
      <w:bookmarkStart w:id="0" w:name="_Hlk69221002"/>
      <w:r w:rsidRPr="00FE060C">
        <w:rPr>
          <w:rFonts w:ascii="Times New Roman" w:hAnsi="Times New Roman" w:cs="Times New Roman"/>
          <w:sz w:val="24"/>
          <w:szCs w:val="24"/>
        </w:rPr>
        <w:t>Laemmli, U.K.(1970). Cleavage of structural proteins during assembly of the head of bacteriophage T4. Nature,277: 680–685</w:t>
      </w:r>
      <w:bookmarkEnd w:id="0"/>
      <w:r w:rsidRPr="00FE060C">
        <w:rPr>
          <w:rFonts w:ascii="Times New Roman" w:hAnsi="Times New Roman" w:cs="Times New Roman"/>
          <w:sz w:val="24"/>
          <w:szCs w:val="24"/>
        </w:rPr>
        <w:t>.</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 xml:space="preserve">Law A.J.R. (1995). Heat denaturation of bovine, goat and ovine whey proteins. Milchwissenschaft. 50: 384–388. </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Livestock Census. 20th</w:t>
      </w:r>
      <w:hyperlink r:id="rId16" w:history="1">
        <w:r w:rsidRPr="00FE060C">
          <w:rPr>
            <w:rFonts w:ascii="Times New Roman" w:hAnsi="Times New Roman" w:cs="Times New Roman"/>
            <w:sz w:val="24"/>
            <w:szCs w:val="24"/>
          </w:rPr>
          <w:t>https://vikaspedia.in/agriculture/agri-directory/reports-and-policy-briefs/20th-livestock-census</w:t>
        </w:r>
      </w:hyperlink>
      <w:r w:rsidRPr="00FE060C">
        <w:rPr>
          <w:rFonts w:ascii="Times New Roman" w:hAnsi="Times New Roman" w:cs="Times New Roman"/>
          <w:sz w:val="24"/>
          <w:szCs w:val="24"/>
        </w:rPr>
        <w:t>.</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lastRenderedPageBreak/>
        <w:t>Markus, C. R., Jonkman, L. M., Lammers, J. H., Deutz, N. E., Messer, M. H., &amp;Rigtering, N. (2005). Evening intake of α-lactalbumin increases plasma tryptophan availability and improves morning alertness and brain measures of attention. The American journal of clinical nutrition, 81(5), 1026-1033.</w:t>
      </w:r>
    </w:p>
    <w:p w:rsidR="00AC2901"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Smithers, G. W. (2008). Whey and whey proteins—from ‘gutter-to-gold’. International Dairy Journal, 18(7), 695-704</w:t>
      </w:r>
    </w:p>
    <w:p w:rsidR="00AC2901" w:rsidRDefault="00AC2901" w:rsidP="00AC2901">
      <w:pPr>
        <w:widowControl w:val="0"/>
        <w:autoSpaceDE w:val="0"/>
        <w:autoSpaceDN w:val="0"/>
        <w:adjustRightInd w:val="0"/>
        <w:spacing w:after="0" w:line="360" w:lineRule="auto"/>
        <w:ind w:left="720" w:right="63" w:hanging="720"/>
        <w:jc w:val="both"/>
        <w:rPr>
          <w:rFonts w:ascii="Times New Roman" w:hAnsi="Times New Roman" w:cs="Times New Roman"/>
          <w:sz w:val="24"/>
          <w:szCs w:val="24"/>
        </w:rPr>
      </w:pPr>
      <w:r w:rsidRPr="00FE060C">
        <w:rPr>
          <w:rFonts w:ascii="Times New Roman" w:hAnsi="Times New Roman" w:cs="Times New Roman"/>
          <w:sz w:val="24"/>
          <w:szCs w:val="24"/>
        </w:rPr>
        <w:t>Xixi, C., Lina, Z., Shaoyun, W., &amp;Pingfan, R. (2015). Fabrication and characterization of the nano-composite of whey protein hydrolysate chelated with calcium. Food &amp; function, 6(3), 816-823.</w:t>
      </w:r>
    </w:p>
    <w:p w:rsidR="00AC2901" w:rsidRPr="00FE060C" w:rsidRDefault="00AC2901" w:rsidP="00AC2901">
      <w:pPr>
        <w:widowControl w:val="0"/>
        <w:autoSpaceDE w:val="0"/>
        <w:autoSpaceDN w:val="0"/>
        <w:adjustRightInd w:val="0"/>
        <w:spacing w:after="0" w:line="360" w:lineRule="auto"/>
        <w:ind w:left="720" w:right="63" w:hanging="720"/>
        <w:rPr>
          <w:rFonts w:ascii="Times New Roman" w:hAnsi="Times New Roman" w:cs="Times New Roman"/>
          <w:sz w:val="24"/>
          <w:szCs w:val="24"/>
        </w:rPr>
      </w:pPr>
      <w:r w:rsidRPr="00FE060C">
        <w:rPr>
          <w:rFonts w:ascii="Times New Roman" w:hAnsi="Times New Roman" w:cs="Times New Roman"/>
          <w:sz w:val="24"/>
          <w:szCs w:val="24"/>
        </w:rPr>
        <w:t>Yan, L. I., Hai-yan, S. U. N., Li-zhen, Z. H. O. U., &amp; Dong, L. I. U. (2014). Optimization of purification process of angiotensin converting enzyme inhibitor peptide VLPVPR with macroporous resin. 业科技, (06), 206-211.</w:t>
      </w:r>
    </w:p>
    <w:p w:rsidR="00AC2901" w:rsidRPr="00FE060C" w:rsidRDefault="00AC2901" w:rsidP="00AC2901">
      <w:pPr>
        <w:widowControl w:val="0"/>
        <w:autoSpaceDE w:val="0"/>
        <w:autoSpaceDN w:val="0"/>
        <w:adjustRightInd w:val="0"/>
        <w:spacing w:after="0" w:line="360" w:lineRule="auto"/>
        <w:ind w:left="720" w:right="63" w:hanging="720"/>
        <w:jc w:val="both"/>
        <w:rPr>
          <w:rFonts w:ascii="Times New Roman" w:hAnsi="Times New Roman" w:cs="Times New Roman"/>
          <w:sz w:val="24"/>
          <w:szCs w:val="24"/>
        </w:rPr>
      </w:pPr>
      <w:r w:rsidRPr="00FE060C">
        <w:rPr>
          <w:rFonts w:ascii="Times New Roman" w:hAnsi="Times New Roman" w:cs="Times New Roman"/>
          <w:sz w:val="24"/>
          <w:szCs w:val="24"/>
        </w:rPr>
        <w:t>Zhao, L., Cai, X., Huang, S., Wang, S., Huang, Y., Hong, J., &amp; Rao, P. (2015). Isolation and identification of a whey protein-sourced calcium-binding tripeptide Tyr-Asp-Thr. International Dairy J</w:t>
      </w:r>
      <w:bookmarkStart w:id="1" w:name="_GoBack"/>
      <w:bookmarkEnd w:id="1"/>
      <w:r w:rsidRPr="00FE060C">
        <w:rPr>
          <w:rFonts w:ascii="Times New Roman" w:hAnsi="Times New Roman" w:cs="Times New Roman"/>
          <w:sz w:val="24"/>
          <w:szCs w:val="24"/>
        </w:rPr>
        <w:t>ournal, 40, 16-23.</w:t>
      </w:r>
    </w:p>
    <w:p w:rsidR="00AD48BC" w:rsidRPr="00FE060C" w:rsidRDefault="00AD48BC" w:rsidP="00FE060C">
      <w:pPr>
        <w:spacing w:after="0" w:line="360" w:lineRule="auto"/>
        <w:rPr>
          <w:rFonts w:ascii="Times New Roman" w:hAnsi="Times New Roman" w:cs="Times New Roman"/>
          <w:sz w:val="24"/>
          <w:szCs w:val="24"/>
        </w:rPr>
      </w:pPr>
    </w:p>
    <w:p w:rsidR="006C4256" w:rsidRPr="00FE060C" w:rsidRDefault="006C4256" w:rsidP="00FE060C">
      <w:pPr>
        <w:spacing w:after="0" w:line="360" w:lineRule="auto"/>
        <w:rPr>
          <w:rFonts w:ascii="Times New Roman" w:hAnsi="Times New Roman" w:cs="Times New Roman"/>
          <w:sz w:val="24"/>
          <w:szCs w:val="24"/>
        </w:rPr>
      </w:pPr>
    </w:p>
    <w:p w:rsidR="006C4256" w:rsidRPr="00FE060C" w:rsidRDefault="006C4256" w:rsidP="00FE060C">
      <w:pPr>
        <w:spacing w:after="0" w:line="360" w:lineRule="auto"/>
        <w:rPr>
          <w:rFonts w:ascii="Times New Roman" w:hAnsi="Times New Roman" w:cs="Times New Roman"/>
          <w:sz w:val="24"/>
          <w:szCs w:val="24"/>
        </w:rPr>
      </w:pPr>
    </w:p>
    <w:p w:rsidR="006C4256" w:rsidRPr="00FE060C" w:rsidRDefault="006C4256" w:rsidP="00FE060C">
      <w:pPr>
        <w:spacing w:after="0" w:line="360" w:lineRule="auto"/>
        <w:rPr>
          <w:rFonts w:ascii="Times New Roman" w:hAnsi="Times New Roman" w:cs="Times New Roman"/>
          <w:sz w:val="24"/>
          <w:szCs w:val="24"/>
        </w:rPr>
      </w:pPr>
    </w:p>
    <w:p w:rsidR="006C4256" w:rsidRPr="00FE060C" w:rsidRDefault="006C4256" w:rsidP="00FE060C">
      <w:pPr>
        <w:spacing w:after="0" w:line="360" w:lineRule="auto"/>
        <w:rPr>
          <w:rFonts w:ascii="Times New Roman" w:hAnsi="Times New Roman" w:cs="Times New Roman"/>
          <w:sz w:val="24"/>
          <w:szCs w:val="24"/>
        </w:rPr>
      </w:pPr>
    </w:p>
    <w:sectPr w:rsidR="006C4256" w:rsidRPr="00FE060C" w:rsidSect="0078189B">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F89" w:rsidRDefault="00164F89" w:rsidP="00E43F3B">
      <w:pPr>
        <w:spacing w:after="0" w:line="240" w:lineRule="auto"/>
      </w:pPr>
      <w:r>
        <w:separator/>
      </w:r>
    </w:p>
  </w:endnote>
  <w:endnote w:type="continuationSeparator" w:id="1">
    <w:p w:rsidR="00164F89" w:rsidRDefault="00164F89" w:rsidP="00E43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WarnockPro-Regular">
    <w:altName w:val="MS Mincho"/>
    <w:panose1 w:val="00000000000000000000"/>
    <w:charset w:val="80"/>
    <w:family w:val="auto"/>
    <w:notTrueType/>
    <w:pitch w:val="default"/>
    <w:sig w:usb0="00000001" w:usb1="08070000" w:usb2="00000010" w:usb3="00000000" w:csb0="00020000" w:csb1="00000000"/>
  </w:font>
  <w:font w:name="TT3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305"/>
      <w:docPartObj>
        <w:docPartGallery w:val="Page Numbers (Bottom of Page)"/>
        <w:docPartUnique/>
      </w:docPartObj>
    </w:sdtPr>
    <w:sdtContent>
      <w:p w:rsidR="00E43F3B" w:rsidRDefault="0088074C">
        <w:pPr>
          <w:pStyle w:val="Footer"/>
          <w:jc w:val="right"/>
        </w:pPr>
        <w:fldSimple w:instr=" PAGE   \* MERGEFORMAT ">
          <w:r w:rsidR="0055582B">
            <w:rPr>
              <w:noProof/>
            </w:rPr>
            <w:t>2</w:t>
          </w:r>
        </w:fldSimple>
      </w:p>
    </w:sdtContent>
  </w:sdt>
  <w:p w:rsidR="00E43F3B" w:rsidRDefault="00E43F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F89" w:rsidRDefault="00164F89" w:rsidP="00E43F3B">
      <w:pPr>
        <w:spacing w:after="0" w:line="240" w:lineRule="auto"/>
      </w:pPr>
      <w:r>
        <w:separator/>
      </w:r>
    </w:p>
  </w:footnote>
  <w:footnote w:type="continuationSeparator" w:id="1">
    <w:p w:rsidR="00164F89" w:rsidRDefault="00164F89" w:rsidP="00E43F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0B147E"/>
    <w:rsid w:val="00001ACA"/>
    <w:rsid w:val="000026D9"/>
    <w:rsid w:val="0000670A"/>
    <w:rsid w:val="00011212"/>
    <w:rsid w:val="000226E6"/>
    <w:rsid w:val="0005043A"/>
    <w:rsid w:val="000662B0"/>
    <w:rsid w:val="00076CD8"/>
    <w:rsid w:val="00082EB6"/>
    <w:rsid w:val="000B051A"/>
    <w:rsid w:val="000B147E"/>
    <w:rsid w:val="000B72D3"/>
    <w:rsid w:val="000C6F89"/>
    <w:rsid w:val="000F1346"/>
    <w:rsid w:val="000F2379"/>
    <w:rsid w:val="000F5E22"/>
    <w:rsid w:val="00100C90"/>
    <w:rsid w:val="00120EAD"/>
    <w:rsid w:val="00131BC5"/>
    <w:rsid w:val="00145E39"/>
    <w:rsid w:val="00153D47"/>
    <w:rsid w:val="00164F89"/>
    <w:rsid w:val="001914A7"/>
    <w:rsid w:val="001A6232"/>
    <w:rsid w:val="001D5E8E"/>
    <w:rsid w:val="001F5CE6"/>
    <w:rsid w:val="002159A5"/>
    <w:rsid w:val="00272222"/>
    <w:rsid w:val="00296ADB"/>
    <w:rsid w:val="002A3ED0"/>
    <w:rsid w:val="002B69EE"/>
    <w:rsid w:val="002C4FB6"/>
    <w:rsid w:val="002E67D6"/>
    <w:rsid w:val="002E6CF5"/>
    <w:rsid w:val="002F0C2C"/>
    <w:rsid w:val="002F6984"/>
    <w:rsid w:val="003237C1"/>
    <w:rsid w:val="00326C4A"/>
    <w:rsid w:val="0034385D"/>
    <w:rsid w:val="00344CD7"/>
    <w:rsid w:val="003767BC"/>
    <w:rsid w:val="003843B0"/>
    <w:rsid w:val="00386F2C"/>
    <w:rsid w:val="003B1052"/>
    <w:rsid w:val="003D3C3E"/>
    <w:rsid w:val="003E7BA1"/>
    <w:rsid w:val="0040059B"/>
    <w:rsid w:val="0047362B"/>
    <w:rsid w:val="004A679D"/>
    <w:rsid w:val="004B588C"/>
    <w:rsid w:val="00506523"/>
    <w:rsid w:val="00513A01"/>
    <w:rsid w:val="0052440E"/>
    <w:rsid w:val="00531C77"/>
    <w:rsid w:val="00535C8E"/>
    <w:rsid w:val="005534D6"/>
    <w:rsid w:val="00553EBB"/>
    <w:rsid w:val="0055582B"/>
    <w:rsid w:val="00573A67"/>
    <w:rsid w:val="00573AEF"/>
    <w:rsid w:val="00574ACD"/>
    <w:rsid w:val="00593ECF"/>
    <w:rsid w:val="005B1A0A"/>
    <w:rsid w:val="005C4E35"/>
    <w:rsid w:val="005F5FD3"/>
    <w:rsid w:val="00652AC1"/>
    <w:rsid w:val="00664758"/>
    <w:rsid w:val="00690C77"/>
    <w:rsid w:val="0069154D"/>
    <w:rsid w:val="006C4256"/>
    <w:rsid w:val="006D18E9"/>
    <w:rsid w:val="006D424C"/>
    <w:rsid w:val="006D7ABA"/>
    <w:rsid w:val="006F60C2"/>
    <w:rsid w:val="00724A29"/>
    <w:rsid w:val="0073664D"/>
    <w:rsid w:val="0073711D"/>
    <w:rsid w:val="00742513"/>
    <w:rsid w:val="0074322C"/>
    <w:rsid w:val="0075070A"/>
    <w:rsid w:val="0077013E"/>
    <w:rsid w:val="0078189B"/>
    <w:rsid w:val="00786708"/>
    <w:rsid w:val="007A6462"/>
    <w:rsid w:val="007C6040"/>
    <w:rsid w:val="007D06EF"/>
    <w:rsid w:val="007F5143"/>
    <w:rsid w:val="007F7D9E"/>
    <w:rsid w:val="008606A4"/>
    <w:rsid w:val="008614D8"/>
    <w:rsid w:val="008641BC"/>
    <w:rsid w:val="0088074C"/>
    <w:rsid w:val="00887B0E"/>
    <w:rsid w:val="00896DA3"/>
    <w:rsid w:val="008A0EA3"/>
    <w:rsid w:val="008C48F1"/>
    <w:rsid w:val="00907B12"/>
    <w:rsid w:val="00980FC3"/>
    <w:rsid w:val="009D51CB"/>
    <w:rsid w:val="009E6D0D"/>
    <w:rsid w:val="00A25FD7"/>
    <w:rsid w:val="00A729DB"/>
    <w:rsid w:val="00A873E5"/>
    <w:rsid w:val="00AC2901"/>
    <w:rsid w:val="00AD48BC"/>
    <w:rsid w:val="00AE576B"/>
    <w:rsid w:val="00B036EF"/>
    <w:rsid w:val="00B11BE7"/>
    <w:rsid w:val="00B36A99"/>
    <w:rsid w:val="00B37470"/>
    <w:rsid w:val="00B46507"/>
    <w:rsid w:val="00B47F31"/>
    <w:rsid w:val="00B53076"/>
    <w:rsid w:val="00B650C1"/>
    <w:rsid w:val="00B70E9B"/>
    <w:rsid w:val="00B75F1B"/>
    <w:rsid w:val="00B849D9"/>
    <w:rsid w:val="00B87F0A"/>
    <w:rsid w:val="00BA171B"/>
    <w:rsid w:val="00BE20D1"/>
    <w:rsid w:val="00C13796"/>
    <w:rsid w:val="00C43F18"/>
    <w:rsid w:val="00C44AC2"/>
    <w:rsid w:val="00C515FF"/>
    <w:rsid w:val="00C53BA1"/>
    <w:rsid w:val="00C81A0C"/>
    <w:rsid w:val="00C936A8"/>
    <w:rsid w:val="00C973D0"/>
    <w:rsid w:val="00CC65EC"/>
    <w:rsid w:val="00CF6850"/>
    <w:rsid w:val="00D04454"/>
    <w:rsid w:val="00D07663"/>
    <w:rsid w:val="00D20D39"/>
    <w:rsid w:val="00D31876"/>
    <w:rsid w:val="00D353AF"/>
    <w:rsid w:val="00D4485B"/>
    <w:rsid w:val="00D61E8B"/>
    <w:rsid w:val="00D63477"/>
    <w:rsid w:val="00D71206"/>
    <w:rsid w:val="00D759C5"/>
    <w:rsid w:val="00D87298"/>
    <w:rsid w:val="00DC1E96"/>
    <w:rsid w:val="00DC2F6E"/>
    <w:rsid w:val="00DD5763"/>
    <w:rsid w:val="00DE0C0E"/>
    <w:rsid w:val="00DE516F"/>
    <w:rsid w:val="00DE7B27"/>
    <w:rsid w:val="00E117D7"/>
    <w:rsid w:val="00E16A1D"/>
    <w:rsid w:val="00E22046"/>
    <w:rsid w:val="00E330A7"/>
    <w:rsid w:val="00E363F1"/>
    <w:rsid w:val="00E43F3B"/>
    <w:rsid w:val="00E74B62"/>
    <w:rsid w:val="00EC3465"/>
    <w:rsid w:val="00F2511E"/>
    <w:rsid w:val="00F513D7"/>
    <w:rsid w:val="00F76C86"/>
    <w:rsid w:val="00F93C09"/>
    <w:rsid w:val="00FA7A3E"/>
    <w:rsid w:val="00FE0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25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6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BC"/>
    <w:rPr>
      <w:rFonts w:ascii="Tahoma" w:hAnsi="Tahoma" w:cs="Tahoma"/>
      <w:sz w:val="16"/>
      <w:szCs w:val="16"/>
    </w:rPr>
  </w:style>
  <w:style w:type="table" w:styleId="TableGrid">
    <w:name w:val="Table Grid"/>
    <w:basedOn w:val="TableNormal"/>
    <w:uiPriority w:val="59"/>
    <w:rsid w:val="00D712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43F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3F3B"/>
  </w:style>
  <w:style w:type="paragraph" w:styleId="Footer">
    <w:name w:val="footer"/>
    <w:basedOn w:val="Normal"/>
    <w:link w:val="FooterChar"/>
    <w:uiPriority w:val="99"/>
    <w:unhideWhenUsed/>
    <w:rsid w:val="00E4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3B"/>
  </w:style>
  <w:style w:type="paragraph" w:styleId="NormalWeb">
    <w:name w:val="Normal (Web)"/>
    <w:basedOn w:val="Normal"/>
    <w:uiPriority w:val="99"/>
    <w:unhideWhenUsed/>
    <w:rsid w:val="00887B0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AD48BC"/>
    <w:rPr>
      <w:color w:val="0000FF" w:themeColor="hyperlink"/>
      <w:u w:val="single"/>
    </w:rPr>
  </w:style>
  <w:style w:type="character" w:customStyle="1" w:styleId="apple-converted-space">
    <w:name w:val="apple-converted-space"/>
    <w:basedOn w:val="DefaultParagraphFont"/>
    <w:rsid w:val="00FE06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1.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1.xml"/><Relationship Id="rId12" Type="http://schemas.openxmlformats.org/officeDocument/2006/relationships/hyperlink" Target="https://www.sciencedirect.com/book/9781782421559/silk"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vikaspedia.in/agriculture/agri-directory/reports-and-policy-briefs/20th-livestock-census"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hart" Target="charts/chart3.xml"/><Relationship Id="rId5" Type="http://schemas.openxmlformats.org/officeDocument/2006/relationships/endnotes" Target="endnotes.xml"/><Relationship Id="rId15" Type="http://schemas.openxmlformats.org/officeDocument/2006/relationships/hyperlink" Target="https://www.researchgate.net/deref/http%3A%2F%2Fdx.doi.org%2F10.1017%2FS0007114511005204" TargetMode="External"/><Relationship Id="rId10" Type="http://schemas.openxmlformats.org/officeDocument/2006/relationships/image" Target="media/image8.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chart" Target="charts/chart2.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H:\Apoorva%20PhD-Thesis\HPLC\WP-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H:\Apoorva%20PhD-Thesis\HPLC\WP-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H:\Apoorva%20PhD-Thesis\HPLC\WP-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H:\Apoorva%20PhD-Thesis\HPLC\WP-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67522887164129"/>
          <c:y val="9.8925981442141708E-2"/>
          <c:w val="0.80192148005280361"/>
          <c:h val="0.63763924388545679"/>
        </c:manualLayout>
      </c:layout>
      <c:barChart>
        <c:barDir val="col"/>
        <c:grouping val="clustered"/>
        <c:ser>
          <c:idx val="0"/>
          <c:order val="0"/>
          <c:tx>
            <c:strRef>
              <c:f>'Std &amp; DH'!$D$87</c:f>
              <c:strCache>
                <c:ptCount val="1"/>
              </c:strCache>
            </c:strRef>
          </c:tx>
          <c:spPr>
            <a:solidFill>
              <a:srgbClr val="00B0F0"/>
            </a:solidFill>
            <a:ln>
              <a:solidFill>
                <a:srgbClr val="C00000"/>
              </a:solidFill>
            </a:ln>
            <a:scene3d>
              <a:camera prst="orthographicFront"/>
              <a:lightRig rig="threePt" dir="t"/>
            </a:scene3d>
            <a:sp3d>
              <a:bevelT w="190500" h="38100"/>
            </a:sp3d>
          </c:spPr>
          <c:cat>
            <c:numRef>
              <c:f>'Std &amp; DH'!$C$88:$C$92</c:f>
              <c:numCache>
                <c:formatCode>General</c:formatCode>
                <c:ptCount val="5"/>
                <c:pt idx="0">
                  <c:v>30</c:v>
                </c:pt>
                <c:pt idx="1">
                  <c:v>40</c:v>
                </c:pt>
                <c:pt idx="2">
                  <c:v>50</c:v>
                </c:pt>
                <c:pt idx="3">
                  <c:v>60</c:v>
                </c:pt>
                <c:pt idx="4">
                  <c:v>70</c:v>
                </c:pt>
              </c:numCache>
            </c:numRef>
          </c:cat>
          <c:val>
            <c:numRef>
              <c:f>'Std &amp; DH'!$D$88:$D$92</c:f>
              <c:numCache>
                <c:formatCode>General</c:formatCode>
                <c:ptCount val="5"/>
                <c:pt idx="0">
                  <c:v>3</c:v>
                </c:pt>
                <c:pt idx="1">
                  <c:v>5.6</c:v>
                </c:pt>
                <c:pt idx="2">
                  <c:v>5.5</c:v>
                </c:pt>
                <c:pt idx="3">
                  <c:v>5.4</c:v>
                </c:pt>
                <c:pt idx="4">
                  <c:v>4.5</c:v>
                </c:pt>
              </c:numCache>
            </c:numRef>
          </c:val>
        </c:ser>
        <c:axId val="37349248"/>
        <c:axId val="58196736"/>
      </c:barChart>
      <c:catAx>
        <c:axId val="37349248"/>
        <c:scaling>
          <c:orientation val="minMax"/>
        </c:scaling>
        <c:axPos val="b"/>
        <c:numFmt formatCode="General" sourceLinked="1"/>
        <c:tickLblPos val="nextTo"/>
        <c:txPr>
          <a:bodyPr/>
          <a:lstStyle/>
          <a:p>
            <a:pPr>
              <a:defRPr sz="1200" b="1">
                <a:solidFill>
                  <a:sysClr val="windowText" lastClr="000000"/>
                </a:solidFill>
                <a:latin typeface="Times New Roman" pitchFamily="18" charset="0"/>
                <a:cs typeface="Times New Roman" pitchFamily="18" charset="0"/>
              </a:defRPr>
            </a:pPr>
            <a:endParaRPr lang="en-US"/>
          </a:p>
        </c:txPr>
        <c:crossAx val="58196736"/>
        <c:crosses val="autoZero"/>
        <c:auto val="1"/>
        <c:lblAlgn val="ctr"/>
        <c:lblOffset val="100"/>
      </c:catAx>
      <c:valAx>
        <c:axId val="58196736"/>
        <c:scaling>
          <c:orientation val="minMax"/>
        </c:scaling>
        <c:axPos val="l"/>
        <c:majorGridlines/>
        <c:numFmt formatCode="General" sourceLinked="1"/>
        <c:tickLblPos val="nextTo"/>
        <c:txPr>
          <a:bodyPr/>
          <a:lstStyle/>
          <a:p>
            <a:pPr>
              <a:defRPr sz="1200" b="1">
                <a:solidFill>
                  <a:sysClr val="windowText" lastClr="000000"/>
                </a:solidFill>
                <a:latin typeface="Times New Roman" pitchFamily="18" charset="0"/>
                <a:cs typeface="Times New Roman" pitchFamily="18" charset="0"/>
              </a:defRPr>
            </a:pPr>
            <a:endParaRPr lang="en-US"/>
          </a:p>
        </c:txPr>
        <c:crossAx val="37349248"/>
        <c:crosses val="autoZero"/>
        <c:crossBetween val="between"/>
      </c:valAx>
      <c:spPr>
        <a:solidFill>
          <a:schemeClr val="accent6">
            <a:lumMod val="20000"/>
            <a:lumOff val="80000"/>
          </a:schemeClr>
        </a:solidFill>
      </c:spPr>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833380551030541"/>
          <c:y val="0.11846225622669328"/>
          <c:w val="0.78837913449961061"/>
          <c:h val="0.62238768226308183"/>
        </c:manualLayout>
      </c:layout>
      <c:barChart>
        <c:barDir val="col"/>
        <c:grouping val="clustered"/>
        <c:ser>
          <c:idx val="0"/>
          <c:order val="0"/>
          <c:tx>
            <c:strRef>
              <c:f>'Std &amp; DH'!$D$99</c:f>
              <c:strCache>
                <c:ptCount val="1"/>
              </c:strCache>
            </c:strRef>
          </c:tx>
          <c:spPr>
            <a:solidFill>
              <a:srgbClr val="00B0F0"/>
            </a:solidFill>
            <a:ln>
              <a:solidFill>
                <a:srgbClr val="FF0000"/>
              </a:solidFill>
            </a:ln>
            <a:scene3d>
              <a:camera prst="orthographicFront"/>
              <a:lightRig rig="threePt" dir="t"/>
            </a:scene3d>
            <a:sp3d>
              <a:bevelT w="190500" h="38100"/>
            </a:sp3d>
          </c:spPr>
          <c:cat>
            <c:numRef>
              <c:f>'Std &amp; DH'!$C$100:$C$106</c:f>
              <c:numCache>
                <c:formatCode>General</c:formatCode>
                <c:ptCount val="7"/>
                <c:pt idx="0">
                  <c:v>30</c:v>
                </c:pt>
                <c:pt idx="1">
                  <c:v>60</c:v>
                </c:pt>
                <c:pt idx="2">
                  <c:v>90</c:v>
                </c:pt>
                <c:pt idx="3">
                  <c:v>120</c:v>
                </c:pt>
                <c:pt idx="4">
                  <c:v>180</c:v>
                </c:pt>
                <c:pt idx="5">
                  <c:v>240</c:v>
                </c:pt>
                <c:pt idx="6">
                  <c:v>300</c:v>
                </c:pt>
              </c:numCache>
            </c:numRef>
          </c:cat>
          <c:val>
            <c:numRef>
              <c:f>'Std &amp; DH'!$D$100:$D$106</c:f>
              <c:numCache>
                <c:formatCode>General</c:formatCode>
                <c:ptCount val="7"/>
                <c:pt idx="0">
                  <c:v>3</c:v>
                </c:pt>
                <c:pt idx="1">
                  <c:v>4</c:v>
                </c:pt>
                <c:pt idx="2">
                  <c:v>4.5</c:v>
                </c:pt>
                <c:pt idx="3">
                  <c:v>5.0999999999999996</c:v>
                </c:pt>
                <c:pt idx="4">
                  <c:v>5.5</c:v>
                </c:pt>
                <c:pt idx="5">
                  <c:v>5.6</c:v>
                </c:pt>
                <c:pt idx="6">
                  <c:v>5.7</c:v>
                </c:pt>
              </c:numCache>
            </c:numRef>
          </c:val>
        </c:ser>
        <c:axId val="58765696"/>
        <c:axId val="58767616"/>
      </c:barChart>
      <c:catAx>
        <c:axId val="58765696"/>
        <c:scaling>
          <c:orientation val="minMax"/>
        </c:scaling>
        <c:axPos val="b"/>
        <c:numFmt formatCode="General" sourceLinked="1"/>
        <c:tickLblPos val="nextTo"/>
        <c:crossAx val="58767616"/>
        <c:crosses val="autoZero"/>
        <c:auto val="1"/>
        <c:lblAlgn val="ctr"/>
        <c:lblOffset val="100"/>
      </c:catAx>
      <c:valAx>
        <c:axId val="58767616"/>
        <c:scaling>
          <c:orientation val="minMax"/>
        </c:scaling>
        <c:axPos val="l"/>
        <c:majorGridlines/>
        <c:numFmt formatCode="General" sourceLinked="1"/>
        <c:tickLblPos val="nextTo"/>
        <c:crossAx val="58765696"/>
        <c:crosses val="autoZero"/>
        <c:crossBetween val="between"/>
      </c:valAx>
      <c:spPr>
        <a:solidFill>
          <a:schemeClr val="accent6">
            <a:lumMod val="20000"/>
            <a:lumOff val="80000"/>
          </a:schemeClr>
        </a:solidFill>
      </c:spPr>
    </c:plotArea>
    <c:plotVisOnly val="1"/>
  </c:chart>
  <c:txPr>
    <a:bodyPr/>
    <a:lstStyle/>
    <a:p>
      <a:pPr>
        <a:defRPr sz="1200" b="1">
          <a:latin typeface="Times New Roman" pitchFamily="18" charset="0"/>
          <a:cs typeface="Times New Roman" pitchFamily="18" charset="0"/>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5642116358297814"/>
          <c:y val="0.14141216792076294"/>
          <c:w val="0.81483964284318477"/>
          <c:h val="0.59436544747797959"/>
        </c:manualLayout>
      </c:layout>
      <c:barChart>
        <c:barDir val="col"/>
        <c:grouping val="clustered"/>
        <c:ser>
          <c:idx val="0"/>
          <c:order val="0"/>
          <c:tx>
            <c:strRef>
              <c:f>'Std &amp; DH'!$D$113</c:f>
              <c:strCache>
                <c:ptCount val="1"/>
              </c:strCache>
            </c:strRef>
          </c:tx>
          <c:spPr>
            <a:solidFill>
              <a:srgbClr val="00B050"/>
            </a:solidFill>
            <a:ln>
              <a:solidFill>
                <a:srgbClr val="C00000"/>
              </a:solidFill>
            </a:ln>
            <a:scene3d>
              <a:camera prst="orthographicFront"/>
              <a:lightRig rig="threePt" dir="t"/>
            </a:scene3d>
            <a:sp3d>
              <a:bevelT w="190500" h="38100"/>
            </a:sp3d>
          </c:spPr>
          <c:cat>
            <c:numRef>
              <c:f>'Std &amp; DH'!$C$114:$C$118</c:f>
              <c:numCache>
                <c:formatCode>General</c:formatCode>
                <c:ptCount val="5"/>
                <c:pt idx="0">
                  <c:v>0.25</c:v>
                </c:pt>
                <c:pt idx="1">
                  <c:v>0.5</c:v>
                </c:pt>
                <c:pt idx="2">
                  <c:v>1</c:v>
                </c:pt>
                <c:pt idx="3">
                  <c:v>1.5</c:v>
                </c:pt>
                <c:pt idx="4">
                  <c:v>2</c:v>
                </c:pt>
              </c:numCache>
            </c:numRef>
          </c:cat>
          <c:val>
            <c:numRef>
              <c:f>'Std &amp; DH'!$D$114:$D$118</c:f>
              <c:numCache>
                <c:formatCode>General</c:formatCode>
                <c:ptCount val="5"/>
                <c:pt idx="0">
                  <c:v>3</c:v>
                </c:pt>
                <c:pt idx="1">
                  <c:v>4.3</c:v>
                </c:pt>
                <c:pt idx="2">
                  <c:v>5.5</c:v>
                </c:pt>
                <c:pt idx="3">
                  <c:v>5.7</c:v>
                </c:pt>
                <c:pt idx="4">
                  <c:v>5.8</c:v>
                </c:pt>
              </c:numCache>
            </c:numRef>
          </c:val>
        </c:ser>
        <c:axId val="78196096"/>
        <c:axId val="78197888"/>
      </c:barChart>
      <c:catAx>
        <c:axId val="78196096"/>
        <c:scaling>
          <c:orientation val="minMax"/>
        </c:scaling>
        <c:axPos val="b"/>
        <c:numFmt formatCode="General" sourceLinked="1"/>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78197888"/>
        <c:crosses val="autoZero"/>
        <c:auto val="1"/>
        <c:lblAlgn val="ctr"/>
        <c:lblOffset val="100"/>
      </c:catAx>
      <c:valAx>
        <c:axId val="78197888"/>
        <c:scaling>
          <c:orientation val="minMax"/>
        </c:scaling>
        <c:axPos val="l"/>
        <c:majorGridlines/>
        <c:numFmt formatCode="General" sourceLinked="1"/>
        <c:tickLblPos val="nextTo"/>
        <c:txPr>
          <a:bodyPr/>
          <a:lstStyle/>
          <a:p>
            <a:pPr>
              <a:defRPr>
                <a:solidFill>
                  <a:sysClr val="windowText" lastClr="000000"/>
                </a:solidFill>
                <a:latin typeface="Times New Roman" pitchFamily="18" charset="0"/>
                <a:cs typeface="Times New Roman" pitchFamily="18" charset="0"/>
              </a:defRPr>
            </a:pPr>
            <a:endParaRPr lang="en-US"/>
          </a:p>
        </c:txPr>
        <c:crossAx val="78196096"/>
        <c:crosses val="autoZero"/>
        <c:crossBetween val="between"/>
      </c:valAx>
      <c:spPr>
        <a:solidFill>
          <a:schemeClr val="accent6">
            <a:lumMod val="20000"/>
            <a:lumOff val="80000"/>
          </a:schemeClr>
        </a:solidFill>
        <a:scene3d>
          <a:camera prst="orthographicFront"/>
          <a:lightRig rig="threePt" dir="t"/>
        </a:scene3d>
        <a:sp3d>
          <a:bevelT w="190500" h="38100"/>
        </a:sp3d>
      </c:spPr>
    </c:plotArea>
    <c:plotVisOnly val="1"/>
  </c:chart>
  <c:txPr>
    <a:bodyPr/>
    <a:lstStyle/>
    <a:p>
      <a:pPr>
        <a:defRPr sz="1200" b="1">
          <a:solidFill>
            <a:srgbClr val="FF0000"/>
          </a:solidFill>
        </a:defRPr>
      </a:pPr>
      <a:endParaRPr lang="en-US"/>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plotArea>
      <c:layout>
        <c:manualLayout>
          <c:layoutTarget val="inner"/>
          <c:xMode val="edge"/>
          <c:yMode val="edge"/>
          <c:x val="0.18980405318188354"/>
          <c:y val="7.5092405108854413E-2"/>
          <c:w val="0.77964037692014077"/>
          <c:h val="0.69462664779895211"/>
        </c:manualLayout>
      </c:layout>
      <c:barChart>
        <c:barDir val="col"/>
        <c:grouping val="clustered"/>
        <c:ser>
          <c:idx val="0"/>
          <c:order val="0"/>
          <c:tx>
            <c:strRef>
              <c:f>'Std &amp; DH'!$E$129</c:f>
              <c:strCache>
                <c:ptCount val="1"/>
              </c:strCache>
            </c:strRef>
          </c:tx>
          <c:spPr>
            <a:solidFill>
              <a:schemeClr val="accent6">
                <a:lumMod val="75000"/>
              </a:schemeClr>
            </a:solidFill>
            <a:ln>
              <a:solidFill>
                <a:srgbClr val="002060"/>
              </a:solidFill>
            </a:ln>
            <a:scene3d>
              <a:camera prst="orthographicFront"/>
              <a:lightRig rig="threePt" dir="t"/>
            </a:scene3d>
            <a:sp3d>
              <a:bevelT w="190500" h="38100"/>
            </a:sp3d>
          </c:spPr>
          <c:cat>
            <c:numRef>
              <c:f>'Std &amp; DH'!$D$130:$D$134</c:f>
              <c:numCache>
                <c:formatCode>General</c:formatCode>
                <c:ptCount val="5"/>
                <c:pt idx="0">
                  <c:v>6</c:v>
                </c:pt>
                <c:pt idx="1">
                  <c:v>7</c:v>
                </c:pt>
                <c:pt idx="2">
                  <c:v>8</c:v>
                </c:pt>
                <c:pt idx="3">
                  <c:v>9</c:v>
                </c:pt>
                <c:pt idx="4">
                  <c:v>10</c:v>
                </c:pt>
              </c:numCache>
            </c:numRef>
          </c:cat>
          <c:val>
            <c:numRef>
              <c:f>'Std &amp; DH'!$E$130:$E$134</c:f>
              <c:numCache>
                <c:formatCode>General</c:formatCode>
                <c:ptCount val="5"/>
                <c:pt idx="0">
                  <c:v>4</c:v>
                </c:pt>
                <c:pt idx="1">
                  <c:v>4.5999999999999996</c:v>
                </c:pt>
                <c:pt idx="2">
                  <c:v>5.7</c:v>
                </c:pt>
                <c:pt idx="3">
                  <c:v>5.2</c:v>
                </c:pt>
                <c:pt idx="4">
                  <c:v>4.9000000000000004</c:v>
                </c:pt>
              </c:numCache>
            </c:numRef>
          </c:val>
        </c:ser>
        <c:axId val="80019840"/>
        <c:axId val="80021376"/>
      </c:barChart>
      <c:catAx>
        <c:axId val="80019840"/>
        <c:scaling>
          <c:orientation val="minMax"/>
        </c:scaling>
        <c:axPos val="b"/>
        <c:numFmt formatCode="General" sourceLinked="1"/>
        <c:tickLblPos val="nextTo"/>
        <c:txPr>
          <a:bodyPr/>
          <a:lstStyle/>
          <a:p>
            <a:pPr>
              <a:defRPr b="1"/>
            </a:pPr>
            <a:endParaRPr lang="en-US"/>
          </a:p>
        </c:txPr>
        <c:crossAx val="80021376"/>
        <c:crosses val="autoZero"/>
        <c:auto val="1"/>
        <c:lblAlgn val="ctr"/>
        <c:lblOffset val="100"/>
      </c:catAx>
      <c:valAx>
        <c:axId val="80021376"/>
        <c:scaling>
          <c:orientation val="minMax"/>
        </c:scaling>
        <c:axPos val="l"/>
        <c:majorGridlines/>
        <c:numFmt formatCode="General" sourceLinked="1"/>
        <c:tickLblPos val="nextTo"/>
        <c:txPr>
          <a:bodyPr/>
          <a:lstStyle/>
          <a:p>
            <a:pPr>
              <a:defRPr b="1"/>
            </a:pPr>
            <a:endParaRPr lang="en-US"/>
          </a:p>
        </c:txPr>
        <c:crossAx val="80019840"/>
        <c:crosses val="autoZero"/>
        <c:crossBetween val="between"/>
      </c:valAx>
      <c:spPr>
        <a:solidFill>
          <a:schemeClr val="accent6">
            <a:lumMod val="20000"/>
            <a:lumOff val="80000"/>
          </a:schemeClr>
        </a:solidFill>
      </c:spPr>
    </c:plotArea>
    <c:plotVisOnly val="1"/>
  </c:chart>
  <c:txPr>
    <a:bodyPr/>
    <a:lstStyle/>
    <a:p>
      <a:pPr>
        <a:defRPr sz="1200">
          <a:latin typeface="Times New Roman" pitchFamily="18" charset="0"/>
          <a:cs typeface="Times New Roman" pitchFamily="18" charset="0"/>
        </a:defRPr>
      </a:pPr>
      <a:endParaRPr lang="en-US"/>
    </a:p>
  </c:txPr>
  <c:externalData r:id="rId1"/>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7.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9.png"/><Relationship Id="rId4" Type="http://schemas.openxmlformats.org/officeDocument/2006/relationships/image" Target="../media/image3.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2.png"/><Relationship Id="rId4"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0.20513</cdr:x>
      <cdr:y>0.29938</cdr:y>
    </cdr:from>
    <cdr:to>
      <cdr:x>0.28247</cdr:x>
      <cdr:y>0.40415</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612396" y="611762"/>
          <a:ext cx="230891" cy="214092"/>
        </a:xfrm>
        <a:prstGeom xmlns:a="http://schemas.openxmlformats.org/drawingml/2006/main" prst="rect">
          <a:avLst/>
        </a:prstGeom>
      </cdr:spPr>
    </cdr:pic>
  </cdr:relSizeAnchor>
  <cdr:relSizeAnchor xmlns:cdr="http://schemas.openxmlformats.org/drawingml/2006/chartDrawing">
    <cdr:from>
      <cdr:x>0.85306</cdr:x>
      <cdr:y>0.15172</cdr:y>
    </cdr:from>
    <cdr:to>
      <cdr:x>0.91707</cdr:x>
      <cdr:y>0.24535</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2546725" y="310041"/>
          <a:ext cx="191096" cy="191328"/>
        </a:xfrm>
        <a:prstGeom xmlns:a="http://schemas.openxmlformats.org/drawingml/2006/main" prst="rect">
          <a:avLst/>
        </a:prstGeom>
      </cdr:spPr>
    </cdr:pic>
  </cdr:relSizeAnchor>
  <cdr:relSizeAnchor xmlns:cdr="http://schemas.openxmlformats.org/drawingml/2006/chartDrawing">
    <cdr:from>
      <cdr:x>0.69027</cdr:x>
      <cdr:y>0.04337</cdr:y>
    </cdr:from>
    <cdr:to>
      <cdr:x>0.75694</cdr:x>
      <cdr:y>0.14888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2060723" y="88630"/>
          <a:ext cx="199037" cy="215604"/>
        </a:xfrm>
        <a:prstGeom xmlns:a="http://schemas.openxmlformats.org/drawingml/2006/main" prst="rect">
          <a:avLst/>
        </a:prstGeom>
      </cdr:spPr>
    </cdr:pic>
  </cdr:relSizeAnchor>
  <cdr:relSizeAnchor xmlns:cdr="http://schemas.openxmlformats.org/drawingml/2006/chartDrawing">
    <cdr:from>
      <cdr:x>2.2243E-7</cdr:x>
      <cdr:y>0.26046</cdr:y>
    </cdr:from>
    <cdr:to>
      <cdr:x>0.18091</cdr:x>
      <cdr:y>0.55441</cdr:y>
    </cdr:to>
    <cdr:sp macro="" textlink="">
      <cdr:nvSpPr>
        <cdr:cNvPr id="7" name="TextBox 1"/>
        <cdr:cNvSpPr txBox="1"/>
      </cdr:nvSpPr>
      <cdr:spPr>
        <a:xfrm xmlns:a="http://schemas.openxmlformats.org/drawingml/2006/main" rot="16200000">
          <a:off x="-9113" y="745938"/>
          <a:ext cx="831563" cy="81333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NPN (mg/ml)</a:t>
          </a:r>
        </a:p>
      </cdr:txBody>
    </cdr:sp>
  </cdr:relSizeAnchor>
  <cdr:relSizeAnchor xmlns:cdr="http://schemas.openxmlformats.org/drawingml/2006/chartDrawing">
    <cdr:from>
      <cdr:x>0.33465</cdr:x>
      <cdr:y>0.84942</cdr:y>
    </cdr:from>
    <cdr:to>
      <cdr:x>0.66104</cdr:x>
      <cdr:y>1</cdr:y>
    </cdr:to>
    <cdr:sp macro="" textlink="">
      <cdr:nvSpPr>
        <cdr:cNvPr id="8" name="TextBox 1"/>
        <cdr:cNvSpPr txBox="1"/>
      </cdr:nvSpPr>
      <cdr:spPr>
        <a:xfrm xmlns:a="http://schemas.openxmlformats.org/drawingml/2006/main">
          <a:off x="1039148" y="1755687"/>
          <a:ext cx="1013490" cy="31123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Incubation temperature (</a:t>
          </a:r>
          <a:r>
            <a:rPr lang="en-US" sz="1200" b="1" baseline="30000">
              <a:solidFill>
                <a:sysClr val="windowText" lastClr="000000"/>
              </a:solidFill>
              <a:latin typeface="Times New Roman" pitchFamily="18" charset="0"/>
              <a:cs typeface="Times New Roman" pitchFamily="18" charset="0"/>
            </a:rPr>
            <a:t>o</a:t>
          </a:r>
          <a:r>
            <a:rPr lang="en-US" sz="1200" b="1">
              <a:solidFill>
                <a:sysClr val="windowText" lastClr="000000"/>
              </a:solidFill>
              <a:latin typeface="Times New Roman" pitchFamily="18" charset="0"/>
              <a:cs typeface="Times New Roman" pitchFamily="18" charset="0"/>
            </a:rPr>
            <a:t>C)</a:t>
          </a:r>
        </a:p>
      </cdr:txBody>
    </cdr:sp>
  </cdr:relSizeAnchor>
  <cdr:relSizeAnchor xmlns:cdr="http://schemas.openxmlformats.org/drawingml/2006/chartDrawing">
    <cdr:from>
      <cdr:x>0.37432</cdr:x>
      <cdr:y>0.03145</cdr:y>
    </cdr:from>
    <cdr:to>
      <cdr:x>0.44212</cdr:x>
      <cdr:y>0.13376</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117512" y="64272"/>
          <a:ext cx="202410" cy="209065"/>
        </a:xfrm>
        <a:prstGeom xmlns:a="http://schemas.openxmlformats.org/drawingml/2006/main" prst="rect">
          <a:avLst/>
        </a:prstGeom>
      </cdr:spPr>
    </cdr:pic>
  </cdr:relSizeAnchor>
  <cdr:relSizeAnchor xmlns:cdr="http://schemas.openxmlformats.org/drawingml/2006/chartDrawing">
    <cdr:from>
      <cdr:x>0.52675</cdr:x>
      <cdr:y>0</cdr:y>
    </cdr:from>
    <cdr:to>
      <cdr:x>0.5957</cdr:x>
      <cdr:y>0.09921</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572567" y="0"/>
          <a:ext cx="205844" cy="202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0.18171</cdr:x>
      <cdr:y>0.34594</cdr:y>
    </cdr:from>
    <cdr:to>
      <cdr:x>0.25905</cdr:x>
      <cdr:y>0.45087</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13099" y="746674"/>
          <a:ext cx="218393" cy="226482"/>
        </a:xfrm>
        <a:prstGeom xmlns:a="http://schemas.openxmlformats.org/drawingml/2006/main" prst="rect">
          <a:avLst/>
        </a:prstGeom>
      </cdr:spPr>
    </cdr:pic>
  </cdr:relSizeAnchor>
  <cdr:relSizeAnchor xmlns:cdr="http://schemas.openxmlformats.org/drawingml/2006/chartDrawing">
    <cdr:from>
      <cdr:x>0.36491</cdr:x>
      <cdr:y>0.89401</cdr:y>
    </cdr:from>
    <cdr:to>
      <cdr:x>0.66685</cdr:x>
      <cdr:y>1</cdr:y>
    </cdr:to>
    <cdr:sp macro="" textlink="">
      <cdr:nvSpPr>
        <cdr:cNvPr id="11" name="TextBox 10"/>
        <cdr:cNvSpPr txBox="1"/>
      </cdr:nvSpPr>
      <cdr:spPr>
        <a:xfrm xmlns:a="http://schemas.openxmlformats.org/drawingml/2006/main">
          <a:off x="1671849" y="2486510"/>
          <a:ext cx="1383345" cy="29479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solidFill>
                <a:sysClr val="windowText" lastClr="000000"/>
              </a:solidFill>
              <a:latin typeface="Times New Roman" pitchFamily="18" charset="0"/>
              <a:cs typeface="Times New Roman" pitchFamily="18" charset="0"/>
            </a:rPr>
            <a:t>Incubation time (min)</a:t>
          </a:r>
        </a:p>
      </cdr:txBody>
    </cdr:sp>
  </cdr:relSizeAnchor>
  <cdr:relSizeAnchor xmlns:cdr="http://schemas.openxmlformats.org/drawingml/2006/chartDrawing">
    <cdr:from>
      <cdr:x>0.29147</cdr:x>
      <cdr:y>0.23428</cdr:y>
    </cdr:from>
    <cdr:to>
      <cdr:x>0.35177</cdr:x>
      <cdr:y>0.34998</cdr:y>
    </cdr:to>
    <cdr:sp macro="" textlink="">
      <cdr:nvSpPr>
        <cdr:cNvPr id="12" name="TextBox 11"/>
        <cdr:cNvSpPr txBox="1"/>
      </cdr:nvSpPr>
      <cdr:spPr>
        <a:xfrm xmlns:a="http://schemas.openxmlformats.org/drawingml/2006/main">
          <a:off x="823050" y="505666"/>
          <a:ext cx="170275" cy="249728"/>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dirty="0">
              <a:latin typeface="Times New Roman" pitchFamily="18" charset="0"/>
              <a:cs typeface="Times New Roman" pitchFamily="18" charset="0"/>
            </a:rPr>
            <a:t>b</a:t>
          </a:r>
        </a:p>
      </cdr:txBody>
    </cdr:sp>
  </cdr:relSizeAnchor>
  <cdr:relSizeAnchor xmlns:cdr="http://schemas.openxmlformats.org/drawingml/2006/chartDrawing">
    <cdr:from>
      <cdr:x>0.40579</cdr:x>
      <cdr:y>0.16578</cdr:y>
    </cdr:from>
    <cdr:to>
      <cdr:x>0.47815</cdr:x>
      <cdr:y>0.27897</cdr:y>
    </cdr:to>
    <cdr:pic>
      <cdr:nvPicPr>
        <cdr:cNvPr id="1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145883" y="357817"/>
          <a:ext cx="204330" cy="244310"/>
        </a:xfrm>
        <a:prstGeom xmlns:a="http://schemas.openxmlformats.org/drawingml/2006/main" prst="rect">
          <a:avLst/>
        </a:prstGeom>
      </cdr:spPr>
    </cdr:pic>
  </cdr:relSizeAnchor>
  <cdr:relSizeAnchor xmlns:cdr="http://schemas.openxmlformats.org/drawingml/2006/chartDrawing">
    <cdr:from>
      <cdr:x>0.52136</cdr:x>
      <cdr:y>0.10871</cdr:y>
    </cdr:from>
    <cdr:to>
      <cdr:x>0.59678</cdr:x>
      <cdr:y>0.21595</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1472204" y="234650"/>
          <a:ext cx="212971" cy="231468"/>
        </a:xfrm>
        <a:prstGeom xmlns:a="http://schemas.openxmlformats.org/drawingml/2006/main" prst="rect">
          <a:avLst/>
        </a:prstGeom>
      </cdr:spPr>
    </cdr:pic>
  </cdr:relSizeAnchor>
  <cdr:relSizeAnchor xmlns:cdr="http://schemas.openxmlformats.org/drawingml/2006/chartDrawing">
    <cdr:from>
      <cdr:x>0</cdr:x>
      <cdr:y>0.4158</cdr:y>
    </cdr:from>
    <cdr:to>
      <cdr:x>0.18091</cdr:x>
      <cdr:y>0.70975</cdr:y>
    </cdr:to>
    <cdr:sp macro="" textlink="">
      <cdr:nvSpPr>
        <cdr:cNvPr id="8" name="TextBox 1"/>
        <cdr:cNvSpPr txBox="1"/>
      </cdr:nvSpPr>
      <cdr:spPr>
        <a:xfrm xmlns:a="http://schemas.openxmlformats.org/drawingml/2006/main" rot="16200000">
          <a:off x="4584" y="1060354"/>
          <a:ext cx="752855" cy="762023"/>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solidFill>
                <a:sysClr val="windowText" lastClr="000000"/>
              </a:solidFill>
              <a:latin typeface="Times New Roman" pitchFamily="18" charset="0"/>
              <a:cs typeface="Times New Roman" pitchFamily="18" charset="0"/>
            </a:rPr>
            <a:t>NPN (mg/ml)</a:t>
          </a:r>
        </a:p>
      </cdr:txBody>
    </cdr:sp>
  </cdr:relSizeAnchor>
  <cdr:relSizeAnchor xmlns:cdr="http://schemas.openxmlformats.org/drawingml/2006/chartDrawing">
    <cdr:from>
      <cdr:x>0.74623</cdr:x>
      <cdr:y>0.06168</cdr:y>
    </cdr:from>
    <cdr:to>
      <cdr:x>0.81658</cdr:x>
      <cdr:y>0.15672</cdr:y>
    </cdr:to>
    <cdr:sp macro="" textlink="">
      <cdr:nvSpPr>
        <cdr:cNvPr id="22" name="TextBox 1"/>
        <cdr:cNvSpPr txBox="1"/>
      </cdr:nvSpPr>
      <cdr:spPr>
        <a:xfrm xmlns:a="http://schemas.openxmlformats.org/drawingml/2006/main">
          <a:off x="2107204" y="133135"/>
          <a:ext cx="198655" cy="205136"/>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Times New Roman" pitchFamily="18" charset="0"/>
              <a:cs typeface="Times New Roman" pitchFamily="18" charset="0"/>
            </a:rPr>
            <a:t>e</a:t>
          </a:r>
        </a:p>
      </cdr:txBody>
    </cdr:sp>
  </cdr:relSizeAnchor>
  <cdr:relSizeAnchor xmlns:cdr="http://schemas.openxmlformats.org/drawingml/2006/chartDrawing">
    <cdr:from>
      <cdr:x>0.85301</cdr:x>
      <cdr:y>0.04769</cdr:y>
    </cdr:from>
    <cdr:to>
      <cdr:x>0.92337</cdr:x>
      <cdr:y>0.14273</cdr:y>
    </cdr:to>
    <cdr:sp macro="" textlink="">
      <cdr:nvSpPr>
        <cdr:cNvPr id="23" name="TextBox 1"/>
        <cdr:cNvSpPr txBox="1"/>
      </cdr:nvSpPr>
      <cdr:spPr>
        <a:xfrm xmlns:a="http://schemas.openxmlformats.org/drawingml/2006/main">
          <a:off x="2408742" y="102934"/>
          <a:ext cx="198683" cy="20513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Times New Roman" pitchFamily="18" charset="0"/>
              <a:cs typeface="Times New Roman" pitchFamily="18" charset="0"/>
            </a:rPr>
            <a:t>e</a:t>
          </a:r>
        </a:p>
      </cdr:txBody>
    </cdr:sp>
  </cdr:relSizeAnchor>
  <cdr:relSizeAnchor xmlns:cdr="http://schemas.openxmlformats.org/drawingml/2006/chartDrawing">
    <cdr:from>
      <cdr:x>0.64122</cdr:x>
      <cdr:y>0.0722</cdr:y>
    </cdr:from>
    <cdr:to>
      <cdr:x>0.69844</cdr:x>
      <cdr:y>0.16208</cdr:y>
    </cdr:to>
    <cdr:pic>
      <cdr:nvPicPr>
        <cdr:cNvPr id="15"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810666" y="155834"/>
          <a:ext cx="161578" cy="193998"/>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0.2583</cdr:x>
      <cdr:y>0.85446</cdr:y>
    </cdr:from>
    <cdr:to>
      <cdr:x>0.77342</cdr:x>
      <cdr:y>0.95677</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54064" y="2125125"/>
          <a:ext cx="1902639" cy="254453"/>
        </a:xfrm>
        <a:prstGeom xmlns:a="http://schemas.openxmlformats.org/drawingml/2006/main" prst="rect">
          <a:avLst/>
        </a:prstGeom>
      </cdr:spPr>
    </cdr:pic>
  </cdr:relSizeAnchor>
  <cdr:relSizeAnchor xmlns:cdr="http://schemas.openxmlformats.org/drawingml/2006/chartDrawing">
    <cdr:from>
      <cdr:x>0</cdr:x>
      <cdr:y>0.22657</cdr:y>
    </cdr:from>
    <cdr:to>
      <cdr:x>0.0637</cdr:x>
      <cdr:y>0.68029</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1073920" y="983969"/>
          <a:ext cx="1115484" cy="261601"/>
        </a:xfrm>
        <a:prstGeom xmlns:a="http://schemas.openxmlformats.org/drawingml/2006/main" prst="rect">
          <a:avLst/>
        </a:prstGeom>
      </cdr:spPr>
    </cdr:pic>
  </cdr:relSizeAnchor>
  <cdr:relSizeAnchor xmlns:cdr="http://schemas.openxmlformats.org/drawingml/2006/chartDrawing">
    <cdr:from>
      <cdr:x>0.18399</cdr:x>
      <cdr:y>0.4038</cdr:y>
    </cdr:from>
    <cdr:to>
      <cdr:x>0.26431</cdr:x>
      <cdr:y>0.50865</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679586" y="1047028"/>
          <a:ext cx="296668" cy="271867"/>
        </a:xfrm>
        <a:prstGeom xmlns:a="http://schemas.openxmlformats.org/drawingml/2006/main" prst="rect">
          <a:avLst/>
        </a:prstGeom>
      </cdr:spPr>
    </cdr:pic>
  </cdr:relSizeAnchor>
  <cdr:relSizeAnchor xmlns:cdr="http://schemas.openxmlformats.org/drawingml/2006/chartDrawing">
    <cdr:from>
      <cdr:x>0.35702</cdr:x>
      <cdr:y>0.27318</cdr:y>
    </cdr:from>
    <cdr:to>
      <cdr:x>0.42349</cdr:x>
      <cdr:y>0.36687</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318682" y="679433"/>
          <a:ext cx="245513" cy="233015"/>
        </a:xfrm>
        <a:prstGeom xmlns:a="http://schemas.openxmlformats.org/drawingml/2006/main" prst="rect">
          <a:avLst/>
        </a:prstGeom>
      </cdr:spPr>
    </cdr:pic>
  </cdr:relSizeAnchor>
  <cdr:relSizeAnchor xmlns:cdr="http://schemas.openxmlformats.org/drawingml/2006/chartDrawing">
    <cdr:from>
      <cdr:x>0.00287</cdr:x>
      <cdr:y>0.00426</cdr:y>
    </cdr:from>
    <cdr:to>
      <cdr:x>0.1404</cdr:x>
      <cdr:y>0.14468</cdr:y>
    </cdr:to>
    <cdr:sp macro="" textlink="">
      <cdr:nvSpPr>
        <cdr:cNvPr id="10" name="TextBox 9"/>
        <cdr:cNvSpPr txBox="1"/>
      </cdr:nvSpPr>
      <cdr:spPr>
        <a:xfrm xmlns:a="http://schemas.openxmlformats.org/drawingml/2006/main">
          <a:off x="10583" y="10583"/>
          <a:ext cx="508000" cy="3492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200" b="1">
            <a:latin typeface="Times New Roman" pitchFamily="18" charset="0"/>
            <a:cs typeface="Times New Roman" pitchFamily="18" charset="0"/>
          </a:endParaRPr>
        </a:p>
      </cdr:txBody>
    </cdr:sp>
  </cdr:relSizeAnchor>
  <cdr:relSizeAnchor xmlns:cdr="http://schemas.openxmlformats.org/drawingml/2006/chartDrawing">
    <cdr:from>
      <cdr:x>0.68481</cdr:x>
      <cdr:y>0.15814</cdr:y>
    </cdr:from>
    <cdr:to>
      <cdr:x>0.75931</cdr:x>
      <cdr:y>0.26452</cdr:y>
    </cdr:to>
    <cdr:sp macro="" textlink="">
      <cdr:nvSpPr>
        <cdr:cNvPr id="11" name="TextBox 10"/>
        <cdr:cNvSpPr txBox="1"/>
      </cdr:nvSpPr>
      <cdr:spPr>
        <a:xfrm xmlns:a="http://schemas.openxmlformats.org/drawingml/2006/main">
          <a:off x="2529415" y="410053"/>
          <a:ext cx="275172" cy="27583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latin typeface="Times New Roman" pitchFamily="18" charset="0"/>
              <a:cs typeface="Times New Roman" pitchFamily="18" charset="0"/>
            </a:rPr>
            <a:t>c</a:t>
          </a:r>
        </a:p>
      </cdr:txBody>
    </cdr:sp>
  </cdr:relSizeAnchor>
  <cdr:relSizeAnchor xmlns:cdr="http://schemas.openxmlformats.org/drawingml/2006/chartDrawing">
    <cdr:from>
      <cdr:x>0.51862</cdr:x>
      <cdr:y>0.17551</cdr:y>
    </cdr:from>
    <cdr:to>
      <cdr:x>0.59312</cdr:x>
      <cdr:y>0.28189</cdr:y>
    </cdr:to>
    <cdr:sp macro="" textlink="">
      <cdr:nvSpPr>
        <cdr:cNvPr id="12" name="TextBox 1"/>
        <cdr:cNvSpPr txBox="1"/>
      </cdr:nvSpPr>
      <cdr:spPr>
        <a:xfrm xmlns:a="http://schemas.openxmlformats.org/drawingml/2006/main">
          <a:off x="1915583" y="455084"/>
          <a:ext cx="275172" cy="2758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Times New Roman" pitchFamily="18" charset="0"/>
              <a:cs typeface="Times New Roman" pitchFamily="18" charset="0"/>
            </a:rPr>
            <a:t>c</a:t>
          </a:r>
        </a:p>
      </cdr:txBody>
    </cdr:sp>
  </cdr:relSizeAnchor>
  <cdr:relSizeAnchor xmlns:cdr="http://schemas.openxmlformats.org/drawingml/2006/chartDrawing">
    <cdr:from>
      <cdr:x>0.84241</cdr:x>
      <cdr:y>0.13878</cdr:y>
    </cdr:from>
    <cdr:to>
      <cdr:x>0.91691</cdr:x>
      <cdr:y>0.24516</cdr:y>
    </cdr:to>
    <cdr:sp macro="" textlink="">
      <cdr:nvSpPr>
        <cdr:cNvPr id="13" name="TextBox 1"/>
        <cdr:cNvSpPr txBox="1"/>
      </cdr:nvSpPr>
      <cdr:spPr>
        <a:xfrm xmlns:a="http://schemas.openxmlformats.org/drawingml/2006/main">
          <a:off x="3111500" y="359834"/>
          <a:ext cx="275172" cy="275834"/>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Times New Roman" pitchFamily="18" charset="0"/>
              <a:cs typeface="Times New Roman" pitchFamily="18" charset="0"/>
            </a:rPr>
            <a:t>c</a:t>
          </a:r>
        </a:p>
      </cdr:txBody>
    </cdr:sp>
  </cdr:relSizeAnchor>
</c:userShapes>
</file>

<file path=word/drawings/drawing4.xml><?xml version="1.0" encoding="utf-8"?>
<c:userShapes xmlns:c="http://schemas.openxmlformats.org/drawingml/2006/chart">
  <cdr:relSizeAnchor xmlns:cdr="http://schemas.openxmlformats.org/drawingml/2006/chartDrawing">
    <cdr:from>
      <cdr:x>0.47031</cdr:x>
      <cdr:y>0.8741</cdr:y>
    </cdr:from>
    <cdr:to>
      <cdr:x>0.56497</cdr:x>
      <cdr:y>0.97641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08849" y="2015569"/>
          <a:ext cx="424469" cy="235914"/>
        </a:xfrm>
        <a:prstGeom xmlns:a="http://schemas.openxmlformats.org/drawingml/2006/main" prst="rect">
          <a:avLst/>
        </a:prstGeom>
      </cdr:spPr>
    </cdr:pic>
  </cdr:relSizeAnchor>
  <cdr:relSizeAnchor xmlns:cdr="http://schemas.openxmlformats.org/drawingml/2006/chartDrawing">
    <cdr:from>
      <cdr:x>2.23376E-7</cdr:x>
      <cdr:y>0.1583</cdr:y>
    </cdr:from>
    <cdr:to>
      <cdr:x>0.07817</cdr:x>
      <cdr:y>0.71304</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rot="16200000">
          <a:off x="-572697" y="999409"/>
          <a:ext cx="1495343" cy="349948"/>
        </a:xfrm>
        <a:prstGeom xmlns:a="http://schemas.openxmlformats.org/drawingml/2006/main" prst="rect">
          <a:avLst/>
        </a:prstGeom>
      </cdr:spPr>
    </cdr:pic>
  </cdr:relSizeAnchor>
  <cdr:relSizeAnchor xmlns:cdr="http://schemas.openxmlformats.org/drawingml/2006/chartDrawing">
    <cdr:from>
      <cdr:x>0.23155</cdr:x>
      <cdr:y>0.19527</cdr:y>
    </cdr:from>
    <cdr:to>
      <cdr:x>0.32185</cdr:x>
      <cdr:y>0.30995</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638817" y="482031"/>
          <a:ext cx="249128" cy="283087"/>
        </a:xfrm>
        <a:prstGeom xmlns:a="http://schemas.openxmlformats.org/drawingml/2006/main" prst="rect">
          <a:avLst/>
        </a:prstGeom>
      </cdr:spPr>
    </cdr:pic>
  </cdr:relSizeAnchor>
  <cdr:relSizeAnchor xmlns:cdr="http://schemas.openxmlformats.org/drawingml/2006/chartDrawing">
    <cdr:from>
      <cdr:x>0.37625</cdr:x>
      <cdr:y>0.13399</cdr:y>
    </cdr:from>
    <cdr:to>
      <cdr:x>0.45098</cdr:x>
      <cdr:y>0.23646</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1038041" y="330764"/>
          <a:ext cx="206173" cy="252946"/>
        </a:xfrm>
        <a:prstGeom xmlns:a="http://schemas.openxmlformats.org/drawingml/2006/main" prst="rect">
          <a:avLst/>
        </a:prstGeom>
      </cdr:spPr>
    </cdr:pic>
  </cdr:relSizeAnchor>
  <cdr:relSizeAnchor xmlns:cdr="http://schemas.openxmlformats.org/drawingml/2006/chartDrawing">
    <cdr:from>
      <cdr:x>2.58164E-7</cdr:x>
      <cdr:y>0.00889</cdr:y>
    </cdr:from>
    <cdr:to>
      <cdr:x>0.14208</cdr:x>
      <cdr:y>0.15111</cdr:y>
    </cdr:to>
    <cdr:sp macro="" textlink="">
      <cdr:nvSpPr>
        <cdr:cNvPr id="9" name="TextBox 8"/>
        <cdr:cNvSpPr txBox="1"/>
      </cdr:nvSpPr>
      <cdr:spPr>
        <a:xfrm xmlns:a="http://schemas.openxmlformats.org/drawingml/2006/main">
          <a:off x="1" y="21163"/>
          <a:ext cx="550333" cy="33866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US" sz="1200" b="1">
            <a:latin typeface="Times New Roman" pitchFamily="18" charset="0"/>
            <a:cs typeface="Times New Roman" pitchFamily="18" charset="0"/>
          </a:endParaRPr>
        </a:p>
      </cdr:txBody>
    </cdr:sp>
  </cdr:relSizeAnchor>
  <cdr:relSizeAnchor xmlns:cdr="http://schemas.openxmlformats.org/drawingml/2006/chartDrawing">
    <cdr:from>
      <cdr:x>0.84041</cdr:x>
      <cdr:y>0.09552</cdr:y>
    </cdr:from>
    <cdr:to>
      <cdr:x>0.92862</cdr:x>
      <cdr:y>0.21357</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4"/>
        <a:stretch xmlns:a="http://schemas.openxmlformats.org/drawingml/2006/main">
          <a:fillRect/>
        </a:stretch>
      </cdr:blipFill>
      <cdr:spPr>
        <a:xfrm xmlns:a="http://schemas.openxmlformats.org/drawingml/2006/main">
          <a:off x="2318595" y="235798"/>
          <a:ext cx="243363" cy="291406"/>
        </a:xfrm>
        <a:prstGeom xmlns:a="http://schemas.openxmlformats.org/drawingml/2006/main" prst="rect">
          <a:avLst/>
        </a:prstGeom>
      </cdr:spPr>
    </cdr:pic>
  </cdr:relSizeAnchor>
  <cdr:relSizeAnchor xmlns:cdr="http://schemas.openxmlformats.org/drawingml/2006/chartDrawing">
    <cdr:from>
      <cdr:x>0.68081</cdr:x>
      <cdr:y>0.0558</cdr:y>
    </cdr:from>
    <cdr:to>
      <cdr:x>0.77371</cdr:x>
      <cdr:y>0.18025</cdr:y>
    </cdr:to>
    <cdr:sp macro="" textlink="">
      <cdr:nvSpPr>
        <cdr:cNvPr id="12" name="TextBox 11"/>
        <cdr:cNvSpPr txBox="1"/>
      </cdr:nvSpPr>
      <cdr:spPr>
        <a:xfrm xmlns:a="http://schemas.openxmlformats.org/drawingml/2006/main">
          <a:off x="1878291" y="137739"/>
          <a:ext cx="256302" cy="307204"/>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200" b="1">
              <a:latin typeface="Times New Roman" pitchFamily="18" charset="0"/>
              <a:cs typeface="Times New Roman" pitchFamily="18" charset="0"/>
            </a:rPr>
            <a:t>b</a:t>
          </a:r>
        </a:p>
      </cdr:txBody>
    </cdr:sp>
  </cdr:relSizeAnchor>
  <cdr:relSizeAnchor xmlns:cdr="http://schemas.openxmlformats.org/drawingml/2006/chartDrawing">
    <cdr:from>
      <cdr:x>0.53376</cdr:x>
      <cdr:y>0.00772</cdr:y>
    </cdr:from>
    <cdr:to>
      <cdr:x>0.61026</cdr:x>
      <cdr:y>0.1366</cdr:y>
    </cdr:to>
    <cdr:sp macro="" textlink="">
      <cdr:nvSpPr>
        <cdr:cNvPr id="13" name="TextBox 1"/>
        <cdr:cNvSpPr txBox="1"/>
      </cdr:nvSpPr>
      <cdr:spPr>
        <a:xfrm xmlns:a="http://schemas.openxmlformats.org/drawingml/2006/main">
          <a:off x="1472601" y="19050"/>
          <a:ext cx="211055" cy="3181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200" b="1">
              <a:latin typeface="Times New Roman" pitchFamily="18" charset="0"/>
              <a:cs typeface="Times New Roman" pitchFamily="18" charset="0"/>
            </a:rPr>
            <a:t>c</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3300</Words>
  <Characters>18813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2021-04-09T07:12:00Z</dcterms:created>
  <dcterms:modified xsi:type="dcterms:W3CDTF">2021-04-13T10:42:00Z</dcterms:modified>
</cp:coreProperties>
</file>